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74" w:type="dxa"/>
        <w:tblInd w:w="-859" w:type="dxa"/>
        <w:tblCellMar>
          <w:left w:w="0" w:type="dxa"/>
          <w:right w:w="0" w:type="dxa"/>
        </w:tblCellMar>
        <w:tblLook w:val="04A0" w:firstRow="1" w:lastRow="0" w:firstColumn="1" w:lastColumn="0" w:noHBand="0" w:noVBand="1"/>
      </w:tblPr>
      <w:tblGrid>
        <w:gridCol w:w="2712"/>
        <w:gridCol w:w="8262"/>
      </w:tblGrid>
      <w:tr w:rsidR="00473A4A" w:rsidRPr="00473A4A" w:rsidTr="00473A4A">
        <w:tc>
          <w:tcPr>
            <w:tcW w:w="2712"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t>1.Ця комерційна пропозиція застосовується для споживачів</w:t>
            </w:r>
          </w:p>
        </w:tc>
        <w:tc>
          <w:tcPr>
            <w:tcW w:w="8257"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473A4A" w:rsidRPr="00473A4A" w:rsidRDefault="00473A4A" w:rsidP="00473A4A">
            <w:pPr>
              <w:spacing w:before="100" w:beforeAutospacing="1" w:after="360" w:line="240" w:lineRule="auto"/>
              <w:ind w:left="83" w:right="878" w:hanging="83"/>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t>1.1 Колективних побутових споживачів  ((юридичної особи, створеної  шляхом об'єднання фізичних осіб - побутових споживачів) , в тому числі - у гуртожитків, що розраховуються за електричну енергію за загальним розрахунковим засобом обліку </w:t>
            </w:r>
            <w:r w:rsidRPr="00473A4A">
              <w:rPr>
                <w:rFonts w:ascii="Arial" w:eastAsia="Times New Roman" w:hAnsi="Arial" w:cs="Arial"/>
                <w:b/>
                <w:bCs/>
                <w:color w:val="515052"/>
                <w:sz w:val="21"/>
                <w:szCs w:val="21"/>
                <w:lang w:eastAsia="uk-UA"/>
              </w:rPr>
              <w:t>в частині споживання електричної енергії фізичними особами для забезпечення власних побутових потреб</w:t>
            </w:r>
            <w:r w:rsidRPr="00473A4A">
              <w:rPr>
                <w:rFonts w:ascii="Arial" w:eastAsia="Times New Roman" w:hAnsi="Arial" w:cs="Arial"/>
                <w:color w:val="515052"/>
                <w:sz w:val="21"/>
                <w:szCs w:val="21"/>
                <w:lang w:eastAsia="uk-UA"/>
              </w:rPr>
              <w:t>, які не включають професійну та/або господарську діяльність.</w:t>
            </w:r>
          </w:p>
        </w:tc>
      </w:tr>
      <w:tr w:rsidR="00473A4A" w:rsidRPr="00473A4A" w:rsidTr="00473A4A">
        <w:trPr>
          <w:trHeight w:val="4365"/>
        </w:trPr>
        <w:tc>
          <w:tcPr>
            <w:tcW w:w="2712"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t>2.Ціна (тариф) електричної енергії</w:t>
            </w:r>
          </w:p>
        </w:tc>
        <w:tc>
          <w:tcPr>
            <w:tcW w:w="8257"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t>2.1 Відповідно до постанови Кабінету Міністрів України № 483 від 05 червня 2019 (зі змінами) фіксована ціна на електричну енергію для побутових споживачів  становить:  </w:t>
            </w:r>
          </w:p>
          <w:tbl>
            <w:tblPr>
              <w:tblpPr w:leftFromText="45" w:rightFromText="45" w:vertAnchor="text"/>
              <w:tblW w:w="7403" w:type="dxa"/>
              <w:tblCellMar>
                <w:left w:w="0" w:type="dxa"/>
                <w:right w:w="0" w:type="dxa"/>
              </w:tblCellMar>
              <w:tblLook w:val="04A0" w:firstRow="1" w:lastRow="0" w:firstColumn="1" w:lastColumn="0" w:noHBand="0" w:noVBand="1"/>
            </w:tblPr>
            <w:tblGrid>
              <w:gridCol w:w="1527"/>
              <w:gridCol w:w="1528"/>
              <w:gridCol w:w="1528"/>
              <w:gridCol w:w="1528"/>
              <w:gridCol w:w="1770"/>
            </w:tblGrid>
            <w:tr w:rsidR="00473A4A" w:rsidRPr="00473A4A">
              <w:trPr>
                <w:trHeight w:val="480"/>
              </w:trPr>
              <w:tc>
                <w:tcPr>
                  <w:tcW w:w="1838" w:type="dxa"/>
                  <w:vMerge w:val="restart"/>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473A4A" w:rsidRPr="00473A4A" w:rsidRDefault="00473A4A" w:rsidP="00473A4A">
                  <w:pPr>
                    <w:spacing w:before="100" w:beforeAutospacing="1" w:after="360" w:line="240" w:lineRule="auto"/>
                    <w:rPr>
                      <w:rFonts w:ascii="Times New Roman" w:eastAsia="Times New Roman" w:hAnsi="Times New Roman" w:cs="Times New Roman"/>
                      <w:color w:val="515052"/>
                      <w:sz w:val="21"/>
                      <w:szCs w:val="21"/>
                      <w:lang w:eastAsia="uk-UA"/>
                    </w:rPr>
                  </w:pPr>
                  <w:r w:rsidRPr="00473A4A">
                    <w:rPr>
                      <w:rFonts w:ascii="Times New Roman" w:eastAsia="Times New Roman" w:hAnsi="Times New Roman" w:cs="Times New Roman"/>
                      <w:b/>
                      <w:bCs/>
                      <w:color w:val="515052"/>
                      <w:sz w:val="21"/>
                      <w:szCs w:val="21"/>
                      <w:lang w:eastAsia="uk-UA"/>
                    </w:rPr>
                    <w:t>Місячний обсяг споживання</w:t>
                  </w:r>
                </w:p>
              </w:tc>
              <w:tc>
                <w:tcPr>
                  <w:tcW w:w="2891" w:type="dxa"/>
                  <w:gridSpan w:val="2"/>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473A4A" w:rsidRPr="00473A4A" w:rsidRDefault="00473A4A" w:rsidP="00473A4A">
                  <w:pPr>
                    <w:spacing w:before="100" w:beforeAutospacing="1" w:after="360" w:line="240" w:lineRule="auto"/>
                    <w:rPr>
                      <w:rFonts w:ascii="Times New Roman" w:eastAsia="Times New Roman" w:hAnsi="Times New Roman" w:cs="Times New Roman"/>
                      <w:color w:val="515052"/>
                      <w:sz w:val="21"/>
                      <w:szCs w:val="21"/>
                      <w:lang w:eastAsia="uk-UA"/>
                    </w:rPr>
                  </w:pPr>
                  <w:r w:rsidRPr="00473A4A">
                    <w:rPr>
                      <w:rFonts w:ascii="Times New Roman" w:eastAsia="Times New Roman" w:hAnsi="Times New Roman" w:cs="Times New Roman"/>
                      <w:b/>
                      <w:bCs/>
                      <w:color w:val="515052"/>
                      <w:sz w:val="21"/>
                      <w:szCs w:val="21"/>
                      <w:lang w:eastAsia="uk-UA"/>
                    </w:rPr>
                    <w:t>Діє: з год з 23-ї до 7-ї години</w:t>
                  </w:r>
                </w:p>
              </w:tc>
              <w:tc>
                <w:tcPr>
                  <w:tcW w:w="2674" w:type="dxa"/>
                  <w:gridSpan w:val="2"/>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473A4A" w:rsidRPr="00473A4A" w:rsidRDefault="00473A4A" w:rsidP="00473A4A">
                  <w:pPr>
                    <w:spacing w:before="100" w:beforeAutospacing="1" w:after="360" w:line="240" w:lineRule="auto"/>
                    <w:rPr>
                      <w:rFonts w:ascii="Times New Roman" w:eastAsia="Times New Roman" w:hAnsi="Times New Roman" w:cs="Times New Roman"/>
                      <w:color w:val="515052"/>
                      <w:sz w:val="21"/>
                      <w:szCs w:val="21"/>
                      <w:lang w:eastAsia="uk-UA"/>
                    </w:rPr>
                  </w:pPr>
                  <w:r w:rsidRPr="00473A4A">
                    <w:rPr>
                      <w:rFonts w:ascii="Times New Roman" w:eastAsia="Times New Roman" w:hAnsi="Times New Roman" w:cs="Times New Roman"/>
                      <w:b/>
                      <w:bCs/>
                      <w:color w:val="515052"/>
                      <w:sz w:val="21"/>
                      <w:szCs w:val="21"/>
                      <w:lang w:eastAsia="uk-UA"/>
                    </w:rPr>
                    <w:t>Діє : з 7-ї до 23-ї години</w:t>
                  </w:r>
                </w:p>
              </w:tc>
            </w:tr>
            <w:tr w:rsidR="00473A4A" w:rsidRPr="00473A4A">
              <w:trPr>
                <w:trHeight w:val="781"/>
              </w:trPr>
              <w:tc>
                <w:tcPr>
                  <w:tcW w:w="0" w:type="auto"/>
                  <w:vMerge/>
                  <w:tcBorders>
                    <w:top w:val="outset" w:sz="6" w:space="0" w:color="BFBFBF"/>
                    <w:left w:val="outset" w:sz="6" w:space="0" w:color="BFBFBF"/>
                    <w:bottom w:val="outset" w:sz="6" w:space="0" w:color="BFBFBF"/>
                    <w:right w:val="outset" w:sz="6" w:space="0" w:color="BFBFBF"/>
                  </w:tcBorders>
                  <w:vAlign w:val="center"/>
                  <w:hideMark/>
                </w:tcPr>
                <w:p w:rsidR="00473A4A" w:rsidRPr="00473A4A" w:rsidRDefault="00473A4A" w:rsidP="00473A4A">
                  <w:pPr>
                    <w:spacing w:after="0" w:line="240" w:lineRule="auto"/>
                    <w:rPr>
                      <w:rFonts w:ascii="Times New Roman" w:eastAsia="Times New Roman" w:hAnsi="Times New Roman" w:cs="Times New Roman"/>
                      <w:color w:val="515052"/>
                      <w:sz w:val="21"/>
                      <w:szCs w:val="21"/>
                      <w:lang w:eastAsia="uk-UA"/>
                    </w:rPr>
                  </w:pPr>
                </w:p>
              </w:tc>
              <w:tc>
                <w:tcPr>
                  <w:tcW w:w="1563"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473A4A" w:rsidRPr="00473A4A" w:rsidRDefault="00473A4A" w:rsidP="00473A4A">
                  <w:pPr>
                    <w:spacing w:before="100" w:beforeAutospacing="1" w:after="360" w:line="240" w:lineRule="auto"/>
                    <w:rPr>
                      <w:rFonts w:ascii="Times New Roman" w:eastAsia="Times New Roman" w:hAnsi="Times New Roman" w:cs="Times New Roman"/>
                      <w:color w:val="515052"/>
                      <w:sz w:val="21"/>
                      <w:szCs w:val="21"/>
                      <w:lang w:eastAsia="uk-UA"/>
                    </w:rPr>
                  </w:pPr>
                  <w:r w:rsidRPr="00473A4A">
                    <w:rPr>
                      <w:rFonts w:ascii="Times New Roman" w:eastAsia="Times New Roman" w:hAnsi="Times New Roman" w:cs="Times New Roman"/>
                      <w:b/>
                      <w:bCs/>
                      <w:color w:val="515052"/>
                      <w:sz w:val="21"/>
                      <w:szCs w:val="21"/>
                      <w:lang w:eastAsia="uk-UA"/>
                    </w:rPr>
                    <w:t>Ціна грн/кВт*год без ПДВ</w:t>
                  </w:r>
                </w:p>
              </w:tc>
              <w:tc>
                <w:tcPr>
                  <w:tcW w:w="132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473A4A" w:rsidRPr="00473A4A" w:rsidRDefault="00473A4A" w:rsidP="00473A4A">
                  <w:pPr>
                    <w:spacing w:before="100" w:beforeAutospacing="1" w:after="360" w:line="240" w:lineRule="auto"/>
                    <w:rPr>
                      <w:rFonts w:ascii="Times New Roman" w:eastAsia="Times New Roman" w:hAnsi="Times New Roman" w:cs="Times New Roman"/>
                      <w:color w:val="515052"/>
                      <w:sz w:val="21"/>
                      <w:szCs w:val="21"/>
                      <w:lang w:eastAsia="uk-UA"/>
                    </w:rPr>
                  </w:pPr>
                  <w:r w:rsidRPr="00473A4A">
                    <w:rPr>
                      <w:rFonts w:ascii="Times New Roman" w:eastAsia="Times New Roman" w:hAnsi="Times New Roman" w:cs="Times New Roman"/>
                      <w:b/>
                      <w:bCs/>
                      <w:color w:val="515052"/>
                      <w:sz w:val="21"/>
                      <w:szCs w:val="21"/>
                      <w:lang w:eastAsia="uk-UA"/>
                    </w:rPr>
                    <w:t>Ціна грн/кВт*год з ПДВ</w:t>
                  </w:r>
                </w:p>
              </w:tc>
              <w:tc>
                <w:tcPr>
                  <w:tcW w:w="132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473A4A" w:rsidRPr="00473A4A" w:rsidRDefault="00473A4A" w:rsidP="00473A4A">
                  <w:pPr>
                    <w:spacing w:before="100" w:beforeAutospacing="1" w:after="360" w:line="240" w:lineRule="auto"/>
                    <w:rPr>
                      <w:rFonts w:ascii="Times New Roman" w:eastAsia="Times New Roman" w:hAnsi="Times New Roman" w:cs="Times New Roman"/>
                      <w:color w:val="515052"/>
                      <w:sz w:val="21"/>
                      <w:szCs w:val="21"/>
                      <w:lang w:eastAsia="uk-UA"/>
                    </w:rPr>
                  </w:pPr>
                  <w:r w:rsidRPr="00473A4A">
                    <w:rPr>
                      <w:rFonts w:ascii="Times New Roman" w:eastAsia="Times New Roman" w:hAnsi="Times New Roman" w:cs="Times New Roman"/>
                      <w:b/>
                      <w:bCs/>
                      <w:color w:val="515052"/>
                      <w:sz w:val="21"/>
                      <w:szCs w:val="21"/>
                      <w:lang w:eastAsia="uk-UA"/>
                    </w:rPr>
                    <w:t>Ціна грн/кВт*год без ПДВ</w:t>
                  </w:r>
                </w:p>
              </w:tc>
              <w:tc>
                <w:tcPr>
                  <w:tcW w:w="1346"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473A4A" w:rsidRPr="00473A4A" w:rsidRDefault="00473A4A" w:rsidP="00473A4A">
                  <w:pPr>
                    <w:spacing w:before="100" w:beforeAutospacing="1" w:after="360" w:line="240" w:lineRule="auto"/>
                    <w:rPr>
                      <w:rFonts w:ascii="Times New Roman" w:eastAsia="Times New Roman" w:hAnsi="Times New Roman" w:cs="Times New Roman"/>
                      <w:color w:val="515052"/>
                      <w:sz w:val="21"/>
                      <w:szCs w:val="21"/>
                      <w:lang w:eastAsia="uk-UA"/>
                    </w:rPr>
                  </w:pPr>
                  <w:r w:rsidRPr="00473A4A">
                    <w:rPr>
                      <w:rFonts w:ascii="Times New Roman" w:eastAsia="Times New Roman" w:hAnsi="Times New Roman" w:cs="Times New Roman"/>
                      <w:b/>
                      <w:bCs/>
                      <w:color w:val="515052"/>
                      <w:sz w:val="21"/>
                      <w:szCs w:val="21"/>
                      <w:lang w:eastAsia="uk-UA"/>
                    </w:rPr>
                    <w:t>Ціна грн/кВт*год   з ПДВ</w:t>
                  </w:r>
                </w:p>
              </w:tc>
            </w:tr>
            <w:tr w:rsidR="00473A4A" w:rsidRPr="00473A4A">
              <w:trPr>
                <w:trHeight w:val="981"/>
              </w:trPr>
              <w:tc>
                <w:tcPr>
                  <w:tcW w:w="18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473A4A" w:rsidRPr="00473A4A" w:rsidRDefault="00473A4A" w:rsidP="00473A4A">
                  <w:pPr>
                    <w:spacing w:before="100" w:beforeAutospacing="1" w:after="360" w:line="240" w:lineRule="auto"/>
                    <w:rPr>
                      <w:rFonts w:ascii="Times New Roman" w:eastAsia="Times New Roman" w:hAnsi="Times New Roman" w:cs="Times New Roman"/>
                      <w:color w:val="515052"/>
                      <w:sz w:val="21"/>
                      <w:szCs w:val="21"/>
                      <w:lang w:eastAsia="uk-UA"/>
                    </w:rPr>
                  </w:pPr>
                  <w:r w:rsidRPr="00473A4A">
                    <w:rPr>
                      <w:rFonts w:ascii="Times New Roman" w:eastAsia="Times New Roman" w:hAnsi="Times New Roman" w:cs="Times New Roman"/>
                      <w:color w:val="515052"/>
                      <w:sz w:val="21"/>
                      <w:szCs w:val="21"/>
                      <w:lang w:eastAsia="uk-UA"/>
                    </w:rPr>
                    <w:t> </w:t>
                  </w:r>
                </w:p>
                <w:p w:rsidR="00473A4A" w:rsidRPr="00473A4A" w:rsidRDefault="00473A4A" w:rsidP="00473A4A">
                  <w:pPr>
                    <w:spacing w:before="100" w:beforeAutospacing="1" w:after="360" w:line="240" w:lineRule="auto"/>
                    <w:rPr>
                      <w:rFonts w:ascii="Times New Roman" w:eastAsia="Times New Roman" w:hAnsi="Times New Roman" w:cs="Times New Roman"/>
                      <w:color w:val="515052"/>
                      <w:sz w:val="21"/>
                      <w:szCs w:val="21"/>
                      <w:lang w:eastAsia="uk-UA"/>
                    </w:rPr>
                  </w:pPr>
                  <w:r w:rsidRPr="00473A4A">
                    <w:rPr>
                      <w:rFonts w:ascii="Times New Roman" w:eastAsia="Times New Roman" w:hAnsi="Times New Roman" w:cs="Times New Roman"/>
                      <w:b/>
                      <w:bCs/>
                      <w:color w:val="515052"/>
                      <w:sz w:val="21"/>
                      <w:szCs w:val="21"/>
                      <w:lang w:eastAsia="uk-UA"/>
                    </w:rPr>
                    <w:t>за весь обсяг споживання</w:t>
                  </w:r>
                </w:p>
              </w:tc>
              <w:tc>
                <w:tcPr>
                  <w:tcW w:w="1563"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473A4A" w:rsidRPr="00473A4A" w:rsidRDefault="00473A4A" w:rsidP="00473A4A">
                  <w:pPr>
                    <w:spacing w:before="100" w:beforeAutospacing="1" w:after="360" w:line="240" w:lineRule="auto"/>
                    <w:rPr>
                      <w:rFonts w:ascii="Times New Roman" w:eastAsia="Times New Roman" w:hAnsi="Times New Roman" w:cs="Times New Roman"/>
                      <w:color w:val="515052"/>
                      <w:sz w:val="21"/>
                      <w:szCs w:val="21"/>
                      <w:lang w:eastAsia="uk-UA"/>
                    </w:rPr>
                  </w:pPr>
                  <w:r w:rsidRPr="00473A4A">
                    <w:rPr>
                      <w:rFonts w:ascii="Times New Roman" w:eastAsia="Times New Roman" w:hAnsi="Times New Roman" w:cs="Times New Roman"/>
                      <w:color w:val="515052"/>
                      <w:sz w:val="21"/>
                      <w:szCs w:val="21"/>
                      <w:lang w:eastAsia="uk-UA"/>
                    </w:rPr>
                    <w:t> </w:t>
                  </w:r>
                </w:p>
                <w:p w:rsidR="00473A4A" w:rsidRPr="00473A4A" w:rsidRDefault="00473A4A" w:rsidP="00473A4A">
                  <w:pPr>
                    <w:spacing w:before="100" w:beforeAutospacing="1" w:after="360" w:line="240" w:lineRule="auto"/>
                    <w:rPr>
                      <w:rFonts w:ascii="Times New Roman" w:eastAsia="Times New Roman" w:hAnsi="Times New Roman" w:cs="Times New Roman"/>
                      <w:color w:val="515052"/>
                      <w:sz w:val="21"/>
                      <w:szCs w:val="21"/>
                      <w:lang w:eastAsia="uk-UA"/>
                    </w:rPr>
                  </w:pPr>
                  <w:r w:rsidRPr="00473A4A">
                    <w:rPr>
                      <w:rFonts w:ascii="Times New Roman" w:eastAsia="Times New Roman" w:hAnsi="Times New Roman" w:cs="Times New Roman"/>
                      <w:color w:val="515052"/>
                      <w:sz w:val="21"/>
                      <w:szCs w:val="21"/>
                      <w:lang w:eastAsia="uk-UA"/>
                    </w:rPr>
                    <w:t>1,10</w:t>
                  </w:r>
                </w:p>
              </w:tc>
              <w:tc>
                <w:tcPr>
                  <w:tcW w:w="132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473A4A" w:rsidRPr="00473A4A" w:rsidRDefault="00473A4A" w:rsidP="00473A4A">
                  <w:pPr>
                    <w:spacing w:before="100" w:beforeAutospacing="1" w:after="360" w:line="240" w:lineRule="auto"/>
                    <w:rPr>
                      <w:rFonts w:ascii="Times New Roman" w:eastAsia="Times New Roman" w:hAnsi="Times New Roman" w:cs="Times New Roman"/>
                      <w:color w:val="515052"/>
                      <w:sz w:val="21"/>
                      <w:szCs w:val="21"/>
                      <w:lang w:eastAsia="uk-UA"/>
                    </w:rPr>
                  </w:pPr>
                  <w:r w:rsidRPr="00473A4A">
                    <w:rPr>
                      <w:rFonts w:ascii="Times New Roman" w:eastAsia="Times New Roman" w:hAnsi="Times New Roman" w:cs="Times New Roman"/>
                      <w:color w:val="515052"/>
                      <w:sz w:val="21"/>
                      <w:szCs w:val="21"/>
                      <w:lang w:eastAsia="uk-UA"/>
                    </w:rPr>
                    <w:t> </w:t>
                  </w:r>
                </w:p>
                <w:p w:rsidR="00473A4A" w:rsidRPr="00473A4A" w:rsidRDefault="00473A4A" w:rsidP="00473A4A">
                  <w:pPr>
                    <w:spacing w:before="100" w:beforeAutospacing="1" w:after="360" w:line="240" w:lineRule="auto"/>
                    <w:rPr>
                      <w:rFonts w:ascii="Times New Roman" w:eastAsia="Times New Roman" w:hAnsi="Times New Roman" w:cs="Times New Roman"/>
                      <w:color w:val="515052"/>
                      <w:sz w:val="21"/>
                      <w:szCs w:val="21"/>
                      <w:lang w:eastAsia="uk-UA"/>
                    </w:rPr>
                  </w:pPr>
                  <w:r w:rsidRPr="00473A4A">
                    <w:rPr>
                      <w:rFonts w:ascii="Times New Roman" w:eastAsia="Times New Roman" w:hAnsi="Times New Roman" w:cs="Times New Roman"/>
                      <w:color w:val="515052"/>
                      <w:sz w:val="21"/>
                      <w:szCs w:val="21"/>
                      <w:lang w:eastAsia="uk-UA"/>
                    </w:rPr>
                    <w:t>1,32</w:t>
                  </w:r>
                </w:p>
              </w:tc>
              <w:tc>
                <w:tcPr>
                  <w:tcW w:w="132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473A4A" w:rsidRPr="00473A4A" w:rsidRDefault="00473A4A" w:rsidP="00473A4A">
                  <w:pPr>
                    <w:spacing w:before="100" w:beforeAutospacing="1" w:after="360" w:line="240" w:lineRule="auto"/>
                    <w:rPr>
                      <w:rFonts w:ascii="Times New Roman" w:eastAsia="Times New Roman" w:hAnsi="Times New Roman" w:cs="Times New Roman"/>
                      <w:color w:val="515052"/>
                      <w:sz w:val="21"/>
                      <w:szCs w:val="21"/>
                      <w:lang w:eastAsia="uk-UA"/>
                    </w:rPr>
                  </w:pPr>
                  <w:r w:rsidRPr="00473A4A">
                    <w:rPr>
                      <w:rFonts w:ascii="Times New Roman" w:eastAsia="Times New Roman" w:hAnsi="Times New Roman" w:cs="Times New Roman"/>
                      <w:color w:val="515052"/>
                      <w:sz w:val="21"/>
                      <w:szCs w:val="21"/>
                      <w:lang w:eastAsia="uk-UA"/>
                    </w:rPr>
                    <w:t> </w:t>
                  </w:r>
                </w:p>
                <w:p w:rsidR="00473A4A" w:rsidRPr="00473A4A" w:rsidRDefault="00473A4A" w:rsidP="00473A4A">
                  <w:pPr>
                    <w:spacing w:before="100" w:beforeAutospacing="1" w:after="360" w:line="240" w:lineRule="auto"/>
                    <w:rPr>
                      <w:rFonts w:ascii="Times New Roman" w:eastAsia="Times New Roman" w:hAnsi="Times New Roman" w:cs="Times New Roman"/>
                      <w:color w:val="515052"/>
                      <w:sz w:val="21"/>
                      <w:szCs w:val="21"/>
                      <w:lang w:eastAsia="uk-UA"/>
                    </w:rPr>
                  </w:pPr>
                  <w:r w:rsidRPr="00473A4A">
                    <w:rPr>
                      <w:rFonts w:ascii="Times New Roman" w:eastAsia="Times New Roman" w:hAnsi="Times New Roman" w:cs="Times New Roman"/>
                      <w:color w:val="515052"/>
                      <w:sz w:val="21"/>
                      <w:szCs w:val="21"/>
                      <w:lang w:eastAsia="uk-UA"/>
                    </w:rPr>
                    <w:t>2,20</w:t>
                  </w:r>
                </w:p>
              </w:tc>
              <w:tc>
                <w:tcPr>
                  <w:tcW w:w="1346"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473A4A" w:rsidRPr="00473A4A" w:rsidRDefault="00473A4A" w:rsidP="00473A4A">
                  <w:pPr>
                    <w:spacing w:before="100" w:beforeAutospacing="1" w:after="360" w:line="240" w:lineRule="auto"/>
                    <w:rPr>
                      <w:rFonts w:ascii="Times New Roman" w:eastAsia="Times New Roman" w:hAnsi="Times New Roman" w:cs="Times New Roman"/>
                      <w:color w:val="515052"/>
                      <w:sz w:val="21"/>
                      <w:szCs w:val="21"/>
                      <w:lang w:eastAsia="uk-UA"/>
                    </w:rPr>
                  </w:pPr>
                  <w:r w:rsidRPr="00473A4A">
                    <w:rPr>
                      <w:rFonts w:ascii="Times New Roman" w:eastAsia="Times New Roman" w:hAnsi="Times New Roman" w:cs="Times New Roman"/>
                      <w:color w:val="515052"/>
                      <w:sz w:val="21"/>
                      <w:szCs w:val="21"/>
                      <w:lang w:eastAsia="uk-UA"/>
                    </w:rPr>
                    <w:t> </w:t>
                  </w:r>
                </w:p>
                <w:p w:rsidR="00473A4A" w:rsidRPr="00473A4A" w:rsidRDefault="00473A4A" w:rsidP="00473A4A">
                  <w:pPr>
                    <w:spacing w:before="100" w:beforeAutospacing="1" w:after="360" w:line="240" w:lineRule="auto"/>
                    <w:rPr>
                      <w:rFonts w:ascii="Times New Roman" w:eastAsia="Times New Roman" w:hAnsi="Times New Roman" w:cs="Times New Roman"/>
                      <w:color w:val="515052"/>
                      <w:sz w:val="21"/>
                      <w:szCs w:val="21"/>
                      <w:lang w:eastAsia="uk-UA"/>
                    </w:rPr>
                  </w:pPr>
                  <w:r w:rsidRPr="00473A4A">
                    <w:rPr>
                      <w:rFonts w:ascii="Times New Roman" w:eastAsia="Times New Roman" w:hAnsi="Times New Roman" w:cs="Times New Roman"/>
                      <w:color w:val="515052"/>
                      <w:sz w:val="21"/>
                      <w:szCs w:val="21"/>
                      <w:lang w:eastAsia="uk-UA"/>
                    </w:rPr>
                    <w:t>2,64</w:t>
                  </w:r>
                </w:p>
              </w:tc>
            </w:tr>
          </w:tbl>
          <w:p w:rsidR="00473A4A" w:rsidRPr="00473A4A" w:rsidRDefault="00473A4A" w:rsidP="00473A4A">
            <w:pPr>
              <w:spacing w:after="0" w:line="240" w:lineRule="auto"/>
              <w:rPr>
                <w:rFonts w:ascii="Arial" w:eastAsia="Times New Roman" w:hAnsi="Arial" w:cs="Arial"/>
                <w:color w:val="454445"/>
                <w:sz w:val="21"/>
                <w:szCs w:val="21"/>
                <w:lang w:eastAsia="uk-UA"/>
              </w:rPr>
            </w:pPr>
          </w:p>
        </w:tc>
      </w:tr>
      <w:tr w:rsidR="00473A4A" w:rsidRPr="00473A4A" w:rsidTr="00473A4A">
        <w:tc>
          <w:tcPr>
            <w:tcW w:w="2712"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t>3.Розрахунковий період</w:t>
            </w:r>
          </w:p>
        </w:tc>
        <w:tc>
          <w:tcPr>
            <w:tcW w:w="8257"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t>3.1. Календарний місяць (розрахунковим періодом вважається період, який починається з 1 числа поточного місяця та закінчується в останній календарний день місяця).</w:t>
            </w:r>
          </w:p>
        </w:tc>
      </w:tr>
      <w:tr w:rsidR="00473A4A" w:rsidRPr="00473A4A" w:rsidTr="00473A4A">
        <w:tc>
          <w:tcPr>
            <w:tcW w:w="2712"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t>4.Спосіб оплати за послугу розподілу (передачі) електричної енергії</w:t>
            </w:r>
          </w:p>
        </w:tc>
        <w:tc>
          <w:tcPr>
            <w:tcW w:w="8257"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t>4.1. Через Постачальника з наступним переведенням цієї оплати оператору системи.</w:t>
            </w:r>
          </w:p>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t>4.2. Оплата послуги з розподілу (передачі) електричної енергії здійснюється Споживачем на підставі виставленого Постачальником окремого рахунку з розподілу (передачі) електричної енергії або на підставі рахунку за спожиту електричну енергію, в якому Постачальником окремим рядком зазначаються дані про вартість послуги з розподілу (передачі) електричної енергії.</w:t>
            </w:r>
          </w:p>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t> Розрахунок вартості послуг з розподілу (передачі) електричної енергії здійснюється на підставі регульованих тарифів на послугу з розподілу (передачі) оператору систем розподілу (передачі)  та з врахуванням обсягів розподіленої (переданої) електричної енергії Споживачу відповідно до даних комерційного обліку.</w:t>
            </w:r>
          </w:p>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t xml:space="preserve">4.3. Зміна регульованих тарифів на послугу з розподілу (передачі) оператору систем розподілу (передачі), у встановленому законодавством порядку, є </w:t>
            </w:r>
            <w:r w:rsidRPr="00473A4A">
              <w:rPr>
                <w:rFonts w:ascii="Arial" w:eastAsia="Times New Roman" w:hAnsi="Arial" w:cs="Arial"/>
                <w:color w:val="515052"/>
                <w:sz w:val="21"/>
                <w:szCs w:val="21"/>
                <w:lang w:eastAsia="uk-UA"/>
              </w:rPr>
              <w:lastRenderedPageBreak/>
              <w:t>підставою для зміни Постачальником ціни цього Договору в односторонньому порядку.</w:t>
            </w:r>
          </w:p>
        </w:tc>
      </w:tr>
      <w:tr w:rsidR="00473A4A" w:rsidRPr="00473A4A" w:rsidTr="00473A4A">
        <w:tc>
          <w:tcPr>
            <w:tcW w:w="2712"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lastRenderedPageBreak/>
              <w:t>5.Спосіб та терміни оплати</w:t>
            </w:r>
          </w:p>
        </w:tc>
        <w:tc>
          <w:tcPr>
            <w:tcW w:w="8257"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t>5.1. Оплата за фактично спожиту електроенергію  визначається  відповідно до даних комерційного обліку</w:t>
            </w:r>
          </w:p>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t xml:space="preserve">5.2. Термін надання остаточного рахунку за спожиту електроенергію </w:t>
            </w:r>
            <w:proofErr w:type="spellStart"/>
            <w:r w:rsidRPr="00473A4A">
              <w:rPr>
                <w:rFonts w:ascii="Arial" w:eastAsia="Times New Roman" w:hAnsi="Arial" w:cs="Arial"/>
                <w:color w:val="515052"/>
                <w:sz w:val="21"/>
                <w:szCs w:val="21"/>
                <w:lang w:eastAsia="uk-UA"/>
              </w:rPr>
              <w:t>електропостачальником</w:t>
            </w:r>
            <w:proofErr w:type="spellEnd"/>
            <w:r w:rsidRPr="00473A4A">
              <w:rPr>
                <w:rFonts w:ascii="Arial" w:eastAsia="Times New Roman" w:hAnsi="Arial" w:cs="Arial"/>
                <w:color w:val="515052"/>
                <w:sz w:val="21"/>
                <w:szCs w:val="21"/>
                <w:lang w:eastAsia="uk-UA"/>
              </w:rPr>
              <w:t xml:space="preserve"> – протягом 3 робочих днів з моменту отримання інформації про обсяги споживання, згідно з даними комерційного обліку</w:t>
            </w:r>
          </w:p>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t>5.3. Термін оплати рахунків – 5 робочих днів від дати отримання рахунку.</w:t>
            </w:r>
          </w:p>
        </w:tc>
      </w:tr>
      <w:tr w:rsidR="00473A4A" w:rsidRPr="00473A4A" w:rsidTr="00473A4A">
        <w:tc>
          <w:tcPr>
            <w:tcW w:w="2712"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t>6.Термін виставлення рахунку за електричну енергію та терміни його оплати</w:t>
            </w:r>
          </w:p>
        </w:tc>
        <w:tc>
          <w:tcPr>
            <w:tcW w:w="8257"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t xml:space="preserve">6.1. Здійснення розрахунків за електричну енергію – система онлайн-розрахунків «Персональний кабінет» на </w:t>
            </w:r>
            <w:proofErr w:type="spellStart"/>
            <w:r w:rsidRPr="00473A4A">
              <w:rPr>
                <w:rFonts w:ascii="Arial" w:eastAsia="Times New Roman" w:hAnsi="Arial" w:cs="Arial"/>
                <w:color w:val="515052"/>
                <w:sz w:val="21"/>
                <w:szCs w:val="21"/>
                <w:lang w:eastAsia="uk-UA"/>
              </w:rPr>
              <w:t>web</w:t>
            </w:r>
            <w:proofErr w:type="spellEnd"/>
            <w:r w:rsidRPr="00473A4A">
              <w:rPr>
                <w:rFonts w:ascii="Arial" w:eastAsia="Times New Roman" w:hAnsi="Arial" w:cs="Arial"/>
                <w:color w:val="515052"/>
                <w:sz w:val="21"/>
                <w:szCs w:val="21"/>
                <w:lang w:eastAsia="uk-UA"/>
              </w:rPr>
              <w:t>-сайті Постачальника (далі – Персональний кабінет).</w:t>
            </w:r>
          </w:p>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t>6.2. Для реєстрації у Персональному кабінеті Споживач використовує такі дані:</w:t>
            </w:r>
          </w:p>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t>6.2.1. ім’я та прізвище відповідальної особи _______________________________________________;</w:t>
            </w:r>
          </w:p>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t>6.2.2. електронна пошта______________@___________;</w:t>
            </w:r>
          </w:p>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t>6.2.3. контактний номер мобільного телефону.</w:t>
            </w:r>
          </w:p>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t>6.3. Онлайн-розрахунки Сторони проводять в електронному вигляді, а саме:</w:t>
            </w:r>
            <w:r w:rsidRPr="00473A4A">
              <w:rPr>
                <w:rFonts w:ascii="Arial" w:eastAsia="Times New Roman" w:hAnsi="Arial" w:cs="Arial"/>
                <w:i/>
                <w:iCs/>
                <w:color w:val="515052"/>
                <w:sz w:val="21"/>
                <w:szCs w:val="21"/>
                <w:lang w:eastAsia="uk-UA"/>
              </w:rPr>
              <w:t> </w:t>
            </w:r>
            <w:r w:rsidRPr="00473A4A">
              <w:rPr>
                <w:rFonts w:ascii="Arial" w:eastAsia="Times New Roman" w:hAnsi="Arial" w:cs="Arial"/>
                <w:color w:val="515052"/>
                <w:sz w:val="21"/>
                <w:szCs w:val="21"/>
                <w:lang w:eastAsia="uk-UA"/>
              </w:rPr>
              <w:t>акти, рахунки, повідомлення про припинення постачання електроенергії, акти звірки та інші документи (далі - Документи), якими Сторони здійснюють обмін у процесі виконання цього Договору надаються Сторонами в електронному вигляді через  Персональний кабінет. Такі електронні документи визначаються Сторонами як офіційні.</w:t>
            </w:r>
          </w:p>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t>6.4. Споживач самостійно отримує рахунок на оплату електричної енергії не пізніше 10 (десятого) календарного дня наступного за розрахунковим періодом у Персональному кабінеті. Якщо рахунок за електроенергію не був отриманий Споживачем через Персональний кабінет на 10 (десятий) календарний день наступний за розрахунковим – він вважається таким, що вручений Постачальником Споживачу 10 (десятого) календарного дня наступного за розрахунковим місяцем та Споживач вважається з ними ознайомлений. Строк оплати такого рахунку обчислюється з наступного робочого дня після його вручення.</w:t>
            </w:r>
          </w:p>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t>6.5. Всі інформаційні повідомлення Постачальник направляє на електронну пошту Споживача та/або номер мобільного телефону (вказані у цьому Договорі). У разі зміни реєстраційних даних Споживач зобов’язується повідомити Постачальника про такі зміни та підписати додатковий правочин. У випадку неповідомлення Споживачем Постачальника про зміну реєстраційних даних, відповідальність за невиконання або неналежне виконання умов Договору несе Споживач. Сторони зобов’язуються не розголошувати реєстраційні дані, зокрема пароль доступу до Персонального кабінету та унікальний код Споживача.</w:t>
            </w:r>
          </w:p>
        </w:tc>
        <w:bookmarkStart w:id="0" w:name="_GoBack"/>
        <w:bookmarkEnd w:id="0"/>
      </w:tr>
      <w:tr w:rsidR="00473A4A" w:rsidRPr="00473A4A" w:rsidTr="00473A4A">
        <w:tc>
          <w:tcPr>
            <w:tcW w:w="2712"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lastRenderedPageBreak/>
              <w:t>7.Розмір пені/ штрафу за порушення термінів оплати</w:t>
            </w:r>
          </w:p>
        </w:tc>
        <w:tc>
          <w:tcPr>
            <w:tcW w:w="8257"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t>7.1. За порушення термінів оплати за спожиту електроенергію, визначених відповідним Договором, Споживач сплачує Постачальнику пеню у розмірі подвійної облікової ставки НБУ за кожен день прострочення платежу, враховуючи день фактичної оплати, 3 % річних та інфляційні збитки. Ця сума зазначається у розрахунковому документі окремим рядком.</w:t>
            </w:r>
          </w:p>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t>Даний пункт у період воєнного стану не застосовується.</w:t>
            </w:r>
          </w:p>
        </w:tc>
      </w:tr>
      <w:tr w:rsidR="00473A4A" w:rsidRPr="00473A4A" w:rsidTr="00473A4A">
        <w:tc>
          <w:tcPr>
            <w:tcW w:w="2712"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t>8.Термін дії договору та умови пролонгації</w:t>
            </w:r>
          </w:p>
        </w:tc>
        <w:tc>
          <w:tcPr>
            <w:tcW w:w="8257"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t>8.1. Договір набирає чинності з дати постачання електричної енергії, вказаної у Заяві-приєднання Споживача до умов публічного договору про постачання електричної енергії, якщо протягом трьох робочих днів споживачу не буде повідомлено про його невідповідність критеріям обраної комерційної пропозиції.</w:t>
            </w:r>
          </w:p>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t xml:space="preserve">З споживачами, об′єкти яких приєднуються до мереж вперше, в тому числі, якщо  заява-приєднання подана через оператора системи розподілу, договір укладається з </w:t>
            </w:r>
            <w:proofErr w:type="spellStart"/>
            <w:r w:rsidRPr="00473A4A">
              <w:rPr>
                <w:rFonts w:ascii="Arial" w:eastAsia="Times New Roman" w:hAnsi="Arial" w:cs="Arial"/>
                <w:color w:val="515052"/>
                <w:sz w:val="21"/>
                <w:szCs w:val="21"/>
                <w:lang w:eastAsia="uk-UA"/>
              </w:rPr>
              <w:t>відкладальною</w:t>
            </w:r>
            <w:proofErr w:type="spellEnd"/>
            <w:r w:rsidRPr="00473A4A">
              <w:rPr>
                <w:rFonts w:ascii="Arial" w:eastAsia="Times New Roman" w:hAnsi="Arial" w:cs="Arial"/>
                <w:color w:val="515052"/>
                <w:sz w:val="21"/>
                <w:szCs w:val="21"/>
                <w:lang w:eastAsia="uk-UA"/>
              </w:rPr>
              <w:t xml:space="preserve"> умовою, відповідно до п.3.2.13. ПРРЕЕ та набирає чинності з дати включення комерційних точок обліку споживача оператором системи розподілу до реєстрів точок комерційного обліку постачальника.</w:t>
            </w:r>
          </w:p>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t>8.2. Договір укладається на умовах даної Комерційної пропозиції протягом дії фіксованої ціни відповідно до постанови Кабінету Міністрів України № 483 від 05 червня 2019 (зі змінами) та продовжується на умовах  Комерційної пропозиції №2.1 «Для побутових потреб (по факту) з двозонним диференціюванням за періодами часу</w:t>
            </w:r>
            <w:r w:rsidRPr="00473A4A">
              <w:rPr>
                <w:rFonts w:ascii="Arial" w:eastAsia="Times New Roman" w:hAnsi="Arial" w:cs="Arial"/>
                <w:i/>
                <w:iCs/>
                <w:color w:val="515052"/>
                <w:sz w:val="21"/>
                <w:szCs w:val="21"/>
                <w:lang w:eastAsia="uk-UA"/>
              </w:rPr>
              <w:t>». </w:t>
            </w:r>
            <w:r w:rsidRPr="00473A4A">
              <w:rPr>
                <w:rFonts w:ascii="Arial" w:eastAsia="Times New Roman" w:hAnsi="Arial" w:cs="Arial"/>
                <w:color w:val="515052"/>
                <w:sz w:val="21"/>
                <w:szCs w:val="21"/>
                <w:lang w:eastAsia="uk-UA"/>
              </w:rPr>
              <w:t xml:space="preserve">Договір вважається </w:t>
            </w:r>
            <w:proofErr w:type="spellStart"/>
            <w:r w:rsidRPr="00473A4A">
              <w:rPr>
                <w:rFonts w:ascii="Arial" w:eastAsia="Times New Roman" w:hAnsi="Arial" w:cs="Arial"/>
                <w:color w:val="515052"/>
                <w:sz w:val="21"/>
                <w:szCs w:val="21"/>
                <w:lang w:eastAsia="uk-UA"/>
              </w:rPr>
              <w:t>автоматино</w:t>
            </w:r>
            <w:proofErr w:type="spellEnd"/>
            <w:r w:rsidRPr="00473A4A">
              <w:rPr>
                <w:rFonts w:ascii="Arial" w:eastAsia="Times New Roman" w:hAnsi="Arial" w:cs="Arial"/>
                <w:color w:val="515052"/>
                <w:sz w:val="21"/>
                <w:szCs w:val="21"/>
                <w:lang w:eastAsia="uk-UA"/>
              </w:rPr>
              <w:t xml:space="preserve"> продовженим на кожен  наступний місяць, якщо за 21 календарний день до закінчення терміну дії Договору жодною із Сторін не буде заявлено про припинення його дії або перегляд його умов.</w:t>
            </w:r>
          </w:p>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t>8.3.      Дія Договору припиняється з таких підстав:</w:t>
            </w:r>
          </w:p>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t>8.3.1. 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p>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t>8.3.2.  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 - у частині постачання;</w:t>
            </w:r>
          </w:p>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t>8.3.3.   Банкрутства або припинення господарської діяльності Постачальником;</w:t>
            </w:r>
          </w:p>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t>8.3.4. У разі зміни Постачальника - у частині постачання електроенергії;</w:t>
            </w:r>
          </w:p>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t>8.3.5.  У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p>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t> </w:t>
            </w:r>
          </w:p>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t xml:space="preserve">8.4. У разі, якщо на момент подання заяви-приєднання до Договору на об’єкт Споживача було припинено/призупинено постачання електричної енергії або </w:t>
            </w:r>
            <w:r w:rsidRPr="00473A4A">
              <w:rPr>
                <w:rFonts w:ascii="Arial" w:eastAsia="Times New Roman" w:hAnsi="Arial" w:cs="Arial"/>
                <w:color w:val="515052"/>
                <w:sz w:val="21"/>
                <w:szCs w:val="21"/>
                <w:lang w:eastAsia="uk-UA"/>
              </w:rPr>
              <w:lastRenderedPageBreak/>
              <w:t>надання послуг з розподілу (передачі) електричної енергії, то постачання здійснюється після відновлення, у встановленому законодавством порядку, надання відповідних послуг.</w:t>
            </w:r>
          </w:p>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t>8.5. Договір може бути пролонгований на аналогічний період (на такий же термін) за умови відсутності письмового повідомлення від однієї із сторін про розірвання Договору.</w:t>
            </w:r>
          </w:p>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t xml:space="preserve">8.6. Якщо в процесі виконання договору Постачальником буде встановлено невідповідність Споживача обраній комерційній пропозиції, Споживач має обрати іншу комерційну пропозицію, про що повідомляє Постачальника шляхом надання відповідної заяви-приєднання протягом 5 робочих днів з дати отримання відповідного повідомлення Постачальника. У разі необрання Споживачем іншої комерційної пропозиції у вказаний вище строк, Постачальник самостійно визначає комерційну пропозицію, критеріям якої відповідає споживач, за умовами якої буде відбуватись постачання електричної енергії. За </w:t>
            </w:r>
            <w:proofErr w:type="spellStart"/>
            <w:r w:rsidRPr="00473A4A">
              <w:rPr>
                <w:rFonts w:ascii="Arial" w:eastAsia="Times New Roman" w:hAnsi="Arial" w:cs="Arial"/>
                <w:color w:val="515052"/>
                <w:sz w:val="21"/>
                <w:szCs w:val="21"/>
                <w:lang w:eastAsia="uk-UA"/>
              </w:rPr>
              <w:t>сплином</w:t>
            </w:r>
            <w:proofErr w:type="spellEnd"/>
            <w:r w:rsidRPr="00473A4A">
              <w:rPr>
                <w:rFonts w:ascii="Arial" w:eastAsia="Times New Roman" w:hAnsi="Arial" w:cs="Arial"/>
                <w:color w:val="515052"/>
                <w:sz w:val="21"/>
                <w:szCs w:val="21"/>
                <w:lang w:eastAsia="uk-UA"/>
              </w:rPr>
              <w:t xml:space="preserve"> встановленого строку для обрання комерційної пропозиції (у разі її необрання споживачем) договір  набирає чинності на умовах нової комерційної пропозиції, визначеної постачальником, про що повідомляється споживач.</w:t>
            </w:r>
          </w:p>
        </w:tc>
      </w:tr>
      <w:tr w:rsidR="00473A4A" w:rsidRPr="00473A4A" w:rsidTr="00473A4A">
        <w:tc>
          <w:tcPr>
            <w:tcW w:w="2712"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lastRenderedPageBreak/>
              <w:t>9.Компенсація за недотримання комерційної якості надання послуг</w:t>
            </w:r>
          </w:p>
        </w:tc>
        <w:tc>
          <w:tcPr>
            <w:tcW w:w="8257"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t>9.1. Компенсація за недотримання постачальником комерційної якості надання послуг надається у порядку та розмірі, визначеному НКРЕКП.</w:t>
            </w:r>
          </w:p>
        </w:tc>
      </w:tr>
      <w:tr w:rsidR="00473A4A" w:rsidRPr="00473A4A" w:rsidTr="00473A4A">
        <w:tc>
          <w:tcPr>
            <w:tcW w:w="2712"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t>10.Звіряння розрахунків</w:t>
            </w:r>
          </w:p>
        </w:tc>
        <w:tc>
          <w:tcPr>
            <w:tcW w:w="8257"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t>10.1. Звіряння фактичних розрахунків з підписанням відповідного акту проводиться за вимогою Сторін.</w:t>
            </w:r>
          </w:p>
        </w:tc>
      </w:tr>
      <w:tr w:rsidR="00473A4A" w:rsidRPr="00473A4A" w:rsidTr="00473A4A">
        <w:tc>
          <w:tcPr>
            <w:tcW w:w="2712"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t>11.Територія здійснення ліцензованої діяльності</w:t>
            </w:r>
          </w:p>
        </w:tc>
        <w:tc>
          <w:tcPr>
            <w:tcW w:w="8257"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t>11.1. На території Івано-Франківської області.</w:t>
            </w:r>
          </w:p>
        </w:tc>
      </w:tr>
      <w:tr w:rsidR="00473A4A" w:rsidRPr="00473A4A" w:rsidTr="00473A4A">
        <w:tc>
          <w:tcPr>
            <w:tcW w:w="2712"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t>12.Урахування пільг, субсидій</w:t>
            </w:r>
          </w:p>
        </w:tc>
        <w:tc>
          <w:tcPr>
            <w:tcW w:w="8257"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t>12.2. Відсутнє.</w:t>
            </w:r>
          </w:p>
        </w:tc>
      </w:tr>
      <w:tr w:rsidR="00473A4A" w:rsidRPr="00473A4A" w:rsidTr="00473A4A">
        <w:tc>
          <w:tcPr>
            <w:tcW w:w="2712"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t>13.Постачання захищеним споживачам</w:t>
            </w:r>
          </w:p>
        </w:tc>
        <w:tc>
          <w:tcPr>
            <w:tcW w:w="8257"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color w:val="515052"/>
                <w:sz w:val="21"/>
                <w:szCs w:val="21"/>
                <w:lang w:eastAsia="uk-UA"/>
              </w:rPr>
              <w:t>13.1. Відсутнє.</w:t>
            </w:r>
          </w:p>
        </w:tc>
      </w:tr>
      <w:tr w:rsidR="00473A4A" w:rsidRPr="00473A4A" w:rsidTr="00473A4A">
        <w:tc>
          <w:tcPr>
            <w:tcW w:w="10974" w:type="dxa"/>
            <w:gridSpan w:val="2"/>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rsidR="00473A4A" w:rsidRPr="00473A4A" w:rsidRDefault="00473A4A" w:rsidP="00473A4A">
            <w:pPr>
              <w:spacing w:before="100" w:beforeAutospacing="1" w:after="360" w:line="240" w:lineRule="auto"/>
              <w:rPr>
                <w:rFonts w:ascii="Arial" w:eastAsia="Times New Roman" w:hAnsi="Arial" w:cs="Arial"/>
                <w:color w:val="515052"/>
                <w:sz w:val="21"/>
                <w:szCs w:val="21"/>
                <w:lang w:eastAsia="uk-UA"/>
              </w:rPr>
            </w:pPr>
            <w:r w:rsidRPr="00473A4A">
              <w:rPr>
                <w:rFonts w:ascii="Arial" w:eastAsia="Times New Roman" w:hAnsi="Arial" w:cs="Arial"/>
                <w:i/>
                <w:iCs/>
                <w:color w:val="515052"/>
                <w:sz w:val="21"/>
                <w:szCs w:val="21"/>
                <w:lang w:eastAsia="uk-UA"/>
              </w:rPr>
              <w:t>Дана комерційна пропозиція чинна з ______________ 2023 року  по 31 грудня  2023 року</w:t>
            </w:r>
          </w:p>
        </w:tc>
      </w:tr>
    </w:tbl>
    <w:p w:rsidR="00650C55" w:rsidRDefault="00650C55"/>
    <w:sectPr w:rsidR="00650C55" w:rsidSect="00473A4A">
      <w:pgSz w:w="11906" w:h="16838"/>
      <w:pgMar w:top="850" w:right="1841"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788"/>
    <w:rsid w:val="00151788"/>
    <w:rsid w:val="00473A4A"/>
    <w:rsid w:val="00650C55"/>
    <w:rsid w:val="00C07E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AB458-DF54-4A3B-AE79-7E6632B3C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3A4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473A4A"/>
    <w:rPr>
      <w:b/>
      <w:bCs/>
    </w:rPr>
  </w:style>
  <w:style w:type="character" w:styleId="a5">
    <w:name w:val="Emphasis"/>
    <w:basedOn w:val="a0"/>
    <w:uiPriority w:val="20"/>
    <w:qFormat/>
    <w:rsid w:val="00473A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21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5866</Words>
  <Characters>3345</Characters>
  <Application>Microsoft Office Word</Application>
  <DocSecurity>0</DocSecurity>
  <Lines>27</Lines>
  <Paragraphs>18</Paragraphs>
  <ScaleCrop>false</ScaleCrop>
  <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Лесюк Ольга Олегівна</dc:creator>
  <cp:keywords/>
  <dc:description/>
  <cp:lastModifiedBy>Лесюк Ольга Олегівна</cp:lastModifiedBy>
  <cp:revision>2</cp:revision>
  <dcterms:created xsi:type="dcterms:W3CDTF">2023-12-15T08:46:00Z</dcterms:created>
  <dcterms:modified xsi:type="dcterms:W3CDTF">2023-12-15T08:47:00Z</dcterms:modified>
</cp:coreProperties>
</file>