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5" w:type="dxa"/>
        <w:tblCellMar>
          <w:left w:w="0" w:type="dxa"/>
          <w:right w:w="0" w:type="dxa"/>
        </w:tblCellMar>
        <w:tblLook w:val="04A0" w:firstRow="1" w:lastRow="0" w:firstColumn="1" w:lastColumn="0" w:noHBand="0" w:noVBand="1"/>
      </w:tblPr>
      <w:tblGrid>
        <w:gridCol w:w="2953"/>
        <w:gridCol w:w="6962"/>
      </w:tblGrid>
      <w:tr w:rsidR="008C3F1C" w:rsidRPr="008C3F1C" w:rsidTr="008C3F1C">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1.Ця комерційна пропозиція застосовується для наступних споживачів</w:t>
            </w:r>
          </w:p>
        </w:tc>
        <w:tc>
          <w:tcPr>
            <w:tcW w:w="67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numPr>
                <w:ilvl w:val="0"/>
                <w:numId w:val="1"/>
              </w:numPr>
              <w:spacing w:before="100" w:beforeAutospacing="1" w:after="100" w:afterAutospacing="1" w:line="240" w:lineRule="auto"/>
              <w:ind w:left="180"/>
              <w:rPr>
                <w:rFonts w:ascii="Arial" w:eastAsia="Times New Roman" w:hAnsi="Arial" w:cs="Arial"/>
                <w:color w:val="454445"/>
                <w:sz w:val="21"/>
                <w:szCs w:val="21"/>
                <w:lang w:eastAsia="uk-UA"/>
              </w:rPr>
            </w:pPr>
          </w:p>
          <w:p w:rsidR="008C3F1C" w:rsidRPr="008C3F1C" w:rsidRDefault="008C3F1C" w:rsidP="008C3F1C">
            <w:pPr>
              <w:numPr>
                <w:ilvl w:val="1"/>
                <w:numId w:val="1"/>
              </w:numPr>
              <w:spacing w:before="100" w:beforeAutospacing="1" w:after="100" w:afterAutospacing="1" w:line="240" w:lineRule="auto"/>
              <w:ind w:left="180"/>
              <w:rPr>
                <w:rFonts w:ascii="Arial" w:eastAsia="Times New Roman" w:hAnsi="Arial" w:cs="Arial"/>
                <w:color w:val="454445"/>
                <w:sz w:val="21"/>
                <w:szCs w:val="21"/>
                <w:lang w:eastAsia="uk-UA"/>
              </w:rPr>
            </w:pPr>
            <w:r w:rsidRPr="008C3F1C">
              <w:rPr>
                <w:rFonts w:ascii="Arial" w:eastAsia="Times New Roman" w:hAnsi="Arial" w:cs="Arial"/>
                <w:color w:val="454445"/>
                <w:sz w:val="21"/>
                <w:szCs w:val="21"/>
                <w:lang w:eastAsia="uk-UA"/>
              </w:rPr>
              <w:t>Юридичних осіб, які є власниками (балансоутримувачами) майна, що використовується для компактного поселення внутрішньо переміщених осіб (гуртожитки, оздоровчі табори) в частині задоволення власних побутових потреб внутрішньо переміщених осіб;</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1.2. Колективних побутових споживачів в тому числі у гуртожитках, що розраховуються за електричну енергію за загальним розрахунковим засобом обліку в частині споживання електричної енергії фізичними особами для задоволення власних побутових потреб, які не включають професійну та/або господарську діяльність;  </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1.3. Споживачів-суб'єктів господарювання, предметом діяльності яких є надання житлово-комунальних послуг населенню (аварійне та евакуаційне освітлення, роботу індивідуальних теплових пунктів, котелень, ліфтів, насосів, замково-переговорних пристроїв, протипожежних систем, систем вентиляції, димовидалення та кондиціонування, систем сигналізації, авіаційних маяків, що належать власникам квартир багатоквартирного будинку на праві спільної власності) та освітлення дворів, східців і номерних знаків);</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1.4 Дачних та дачно-будівельних кооперативів, садових товариств, гаражно-будівельних кооперативів  на технічні цілі (роботу насосів) та освітлення території;</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1.5. Релігійних організацій в частині споживання електричної енергії на комунально-побутові потреби.</w:t>
            </w:r>
          </w:p>
        </w:tc>
      </w:tr>
      <w:tr w:rsidR="008C3F1C" w:rsidRPr="008C3F1C" w:rsidTr="008C3F1C">
        <w:trPr>
          <w:trHeight w:val="2217"/>
        </w:trPr>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2.Ціна (тариф) електричної енергії</w:t>
            </w:r>
          </w:p>
        </w:tc>
        <w:tc>
          <w:tcPr>
            <w:tcW w:w="67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2.1 Відповідно до постанови Кабінету Міністрів України № 483 від 05 червня 2019 (зі змінами) фіксована ціна на електричну енергію  становить:</w:t>
            </w:r>
          </w:p>
          <w:tbl>
            <w:tblPr>
              <w:tblW w:w="6586" w:type="dxa"/>
              <w:tblCellMar>
                <w:left w:w="0" w:type="dxa"/>
                <w:right w:w="0" w:type="dxa"/>
              </w:tblCellMar>
              <w:tblLook w:val="04A0" w:firstRow="1" w:lastRow="0" w:firstColumn="1" w:lastColumn="0" w:noHBand="0" w:noVBand="1"/>
            </w:tblPr>
            <w:tblGrid>
              <w:gridCol w:w="2118"/>
              <w:gridCol w:w="1540"/>
              <w:gridCol w:w="2928"/>
            </w:tblGrid>
            <w:tr w:rsidR="008C3F1C" w:rsidRPr="008C3F1C">
              <w:trPr>
                <w:trHeight w:val="20"/>
              </w:trPr>
              <w:tc>
                <w:tcPr>
                  <w:tcW w:w="308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vAlign w:val="center"/>
                  <w:hideMark/>
                </w:tcPr>
                <w:p w:rsidR="008C3F1C" w:rsidRPr="008C3F1C" w:rsidRDefault="008C3F1C" w:rsidP="008C3F1C">
                  <w:pPr>
                    <w:spacing w:before="100" w:beforeAutospacing="1" w:after="360" w:line="240" w:lineRule="auto"/>
                    <w:rPr>
                      <w:rFonts w:ascii="Times New Roman" w:eastAsia="Times New Roman" w:hAnsi="Times New Roman" w:cs="Times New Roman"/>
                      <w:color w:val="515052"/>
                      <w:sz w:val="21"/>
                      <w:szCs w:val="21"/>
                      <w:lang w:eastAsia="uk-UA"/>
                    </w:rPr>
                  </w:pPr>
                  <w:r w:rsidRPr="008C3F1C">
                    <w:rPr>
                      <w:rFonts w:ascii="Times New Roman" w:eastAsia="Times New Roman" w:hAnsi="Times New Roman" w:cs="Times New Roman"/>
                      <w:b/>
                      <w:bCs/>
                      <w:color w:val="515052"/>
                      <w:sz w:val="21"/>
                      <w:szCs w:val="21"/>
                      <w:lang w:eastAsia="uk-UA"/>
                    </w:rPr>
                    <w:t>Місячний обсяг споживання</w:t>
                  </w:r>
                </w:p>
              </w:tc>
              <w:tc>
                <w:tcPr>
                  <w:tcW w:w="155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vAlign w:val="center"/>
                  <w:hideMark/>
                </w:tcPr>
                <w:p w:rsidR="008C3F1C" w:rsidRPr="008C3F1C" w:rsidRDefault="008C3F1C" w:rsidP="008C3F1C">
                  <w:pPr>
                    <w:spacing w:before="100" w:beforeAutospacing="1" w:after="360" w:line="240" w:lineRule="auto"/>
                    <w:rPr>
                      <w:rFonts w:ascii="Times New Roman" w:eastAsia="Times New Roman" w:hAnsi="Times New Roman" w:cs="Times New Roman"/>
                      <w:color w:val="515052"/>
                      <w:sz w:val="21"/>
                      <w:szCs w:val="21"/>
                      <w:lang w:eastAsia="uk-UA"/>
                    </w:rPr>
                  </w:pPr>
                  <w:r w:rsidRPr="008C3F1C">
                    <w:rPr>
                      <w:rFonts w:ascii="Times New Roman" w:eastAsia="Times New Roman" w:hAnsi="Times New Roman" w:cs="Times New Roman"/>
                      <w:b/>
                      <w:bCs/>
                      <w:color w:val="515052"/>
                      <w:sz w:val="21"/>
                      <w:szCs w:val="21"/>
                      <w:lang w:eastAsia="uk-UA"/>
                    </w:rPr>
                    <w:t>Ціна грн/кВт*год без ПДВ</w:t>
                  </w:r>
                </w:p>
              </w:tc>
              <w:tc>
                <w:tcPr>
                  <w:tcW w:w="1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vAlign w:val="center"/>
                  <w:hideMark/>
                </w:tcPr>
                <w:p w:rsidR="008C3F1C" w:rsidRPr="008C3F1C" w:rsidRDefault="008C3F1C" w:rsidP="008C3F1C">
                  <w:pPr>
                    <w:spacing w:before="100" w:beforeAutospacing="1" w:after="360" w:line="240" w:lineRule="auto"/>
                    <w:rPr>
                      <w:rFonts w:ascii="Times New Roman" w:eastAsia="Times New Roman" w:hAnsi="Times New Roman" w:cs="Times New Roman"/>
                      <w:color w:val="515052"/>
                      <w:sz w:val="21"/>
                      <w:szCs w:val="21"/>
                      <w:lang w:eastAsia="uk-UA"/>
                    </w:rPr>
                  </w:pPr>
                  <w:r w:rsidRPr="008C3F1C">
                    <w:rPr>
                      <w:rFonts w:ascii="Times New Roman" w:eastAsia="Times New Roman" w:hAnsi="Times New Roman" w:cs="Times New Roman"/>
                      <w:b/>
                      <w:bCs/>
                      <w:color w:val="515052"/>
                      <w:sz w:val="21"/>
                      <w:szCs w:val="21"/>
                      <w:lang w:eastAsia="uk-UA"/>
                    </w:rPr>
                    <w:t>Ціна    грн/кВт*год  з  ПДВ</w:t>
                  </w:r>
                </w:p>
              </w:tc>
            </w:tr>
            <w:tr w:rsidR="008C3F1C" w:rsidRPr="008C3F1C">
              <w:trPr>
                <w:trHeight w:val="388"/>
              </w:trPr>
              <w:tc>
                <w:tcPr>
                  <w:tcW w:w="308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vAlign w:val="center"/>
                  <w:hideMark/>
                </w:tcPr>
                <w:p w:rsidR="008C3F1C" w:rsidRPr="008C3F1C" w:rsidRDefault="008C3F1C" w:rsidP="008C3F1C">
                  <w:pPr>
                    <w:spacing w:before="100" w:beforeAutospacing="1" w:after="360" w:line="240" w:lineRule="auto"/>
                    <w:rPr>
                      <w:rFonts w:ascii="Times New Roman" w:eastAsia="Times New Roman" w:hAnsi="Times New Roman" w:cs="Times New Roman"/>
                      <w:color w:val="515052"/>
                      <w:sz w:val="21"/>
                      <w:szCs w:val="21"/>
                      <w:lang w:eastAsia="uk-UA"/>
                    </w:rPr>
                  </w:pPr>
                  <w:r w:rsidRPr="008C3F1C">
                    <w:rPr>
                      <w:rFonts w:ascii="Times New Roman" w:eastAsia="Times New Roman" w:hAnsi="Times New Roman" w:cs="Times New Roman"/>
                      <w:color w:val="515052"/>
                      <w:sz w:val="21"/>
                      <w:szCs w:val="21"/>
                      <w:lang w:eastAsia="uk-UA"/>
                    </w:rPr>
                    <w:t>За весь обсяг поживання</w:t>
                  </w:r>
                </w:p>
              </w:tc>
              <w:tc>
                <w:tcPr>
                  <w:tcW w:w="155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vAlign w:val="center"/>
                  <w:hideMark/>
                </w:tcPr>
                <w:p w:rsidR="008C3F1C" w:rsidRPr="008C3F1C" w:rsidRDefault="008C3F1C" w:rsidP="008C3F1C">
                  <w:pPr>
                    <w:spacing w:before="100" w:beforeAutospacing="1" w:after="360" w:line="240" w:lineRule="auto"/>
                    <w:rPr>
                      <w:rFonts w:ascii="Times New Roman" w:eastAsia="Times New Roman" w:hAnsi="Times New Roman" w:cs="Times New Roman"/>
                      <w:color w:val="515052"/>
                      <w:sz w:val="21"/>
                      <w:szCs w:val="21"/>
                      <w:lang w:eastAsia="uk-UA"/>
                    </w:rPr>
                  </w:pPr>
                  <w:r w:rsidRPr="008C3F1C">
                    <w:rPr>
                      <w:rFonts w:ascii="Times New Roman" w:eastAsia="Times New Roman" w:hAnsi="Times New Roman" w:cs="Times New Roman"/>
                      <w:color w:val="515052"/>
                      <w:sz w:val="21"/>
                      <w:szCs w:val="21"/>
                      <w:lang w:eastAsia="uk-UA"/>
                    </w:rPr>
                    <w:t>2,20</w:t>
                  </w:r>
                </w:p>
              </w:tc>
              <w:tc>
                <w:tcPr>
                  <w:tcW w:w="1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vAlign w:val="center"/>
                  <w:hideMark/>
                </w:tcPr>
                <w:p w:rsidR="008C3F1C" w:rsidRPr="008C3F1C" w:rsidRDefault="008C3F1C" w:rsidP="008C3F1C">
                  <w:pPr>
                    <w:spacing w:before="100" w:beforeAutospacing="1" w:after="360" w:line="240" w:lineRule="auto"/>
                    <w:rPr>
                      <w:rFonts w:ascii="Times New Roman" w:eastAsia="Times New Roman" w:hAnsi="Times New Roman" w:cs="Times New Roman"/>
                      <w:color w:val="515052"/>
                      <w:sz w:val="21"/>
                      <w:szCs w:val="21"/>
                      <w:lang w:eastAsia="uk-UA"/>
                    </w:rPr>
                  </w:pPr>
                  <w:r w:rsidRPr="008C3F1C">
                    <w:rPr>
                      <w:rFonts w:ascii="Times New Roman" w:eastAsia="Times New Roman" w:hAnsi="Times New Roman" w:cs="Times New Roman"/>
                      <w:color w:val="515052"/>
                      <w:sz w:val="21"/>
                      <w:szCs w:val="21"/>
                      <w:lang w:eastAsia="uk-UA"/>
                    </w:rPr>
                    <w:t> </w:t>
                  </w:r>
                </w:p>
                <w:p w:rsidR="008C3F1C" w:rsidRPr="008C3F1C" w:rsidRDefault="008C3F1C" w:rsidP="008C3F1C">
                  <w:pPr>
                    <w:spacing w:before="100" w:beforeAutospacing="1" w:after="360" w:line="240" w:lineRule="auto"/>
                    <w:rPr>
                      <w:rFonts w:ascii="Times New Roman" w:eastAsia="Times New Roman" w:hAnsi="Times New Roman" w:cs="Times New Roman"/>
                      <w:color w:val="515052"/>
                      <w:sz w:val="21"/>
                      <w:szCs w:val="21"/>
                      <w:lang w:eastAsia="uk-UA"/>
                    </w:rPr>
                  </w:pPr>
                  <w:r w:rsidRPr="008C3F1C">
                    <w:rPr>
                      <w:rFonts w:ascii="Times New Roman" w:eastAsia="Times New Roman" w:hAnsi="Times New Roman" w:cs="Times New Roman"/>
                      <w:color w:val="515052"/>
                      <w:sz w:val="21"/>
                      <w:szCs w:val="21"/>
                      <w:lang w:eastAsia="uk-UA"/>
                    </w:rPr>
                    <w:t>             2,64</w:t>
                  </w:r>
                </w:p>
              </w:tc>
            </w:tr>
          </w:tbl>
          <w:p w:rsidR="008C3F1C" w:rsidRPr="008C3F1C" w:rsidRDefault="008C3F1C" w:rsidP="008C3F1C">
            <w:pPr>
              <w:spacing w:after="0" w:line="240" w:lineRule="auto"/>
              <w:rPr>
                <w:rFonts w:ascii="Arial" w:eastAsia="Times New Roman" w:hAnsi="Arial" w:cs="Arial"/>
                <w:color w:val="454445"/>
                <w:sz w:val="21"/>
                <w:szCs w:val="21"/>
                <w:lang w:eastAsia="uk-UA"/>
              </w:rPr>
            </w:pPr>
          </w:p>
        </w:tc>
      </w:tr>
      <w:tr w:rsidR="008C3F1C" w:rsidRPr="008C3F1C" w:rsidTr="008C3F1C">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3.Розрахунковий період</w:t>
            </w:r>
          </w:p>
        </w:tc>
        <w:tc>
          <w:tcPr>
            <w:tcW w:w="67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3.1  Календарний місяць (розрахунковим періодом вважається період, який починається з 1 числа поточного місяця та закінчується в останній календарний день місяця).</w:t>
            </w:r>
          </w:p>
        </w:tc>
      </w:tr>
      <w:tr w:rsidR="008C3F1C" w:rsidRPr="008C3F1C" w:rsidTr="008C3F1C">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lastRenderedPageBreak/>
              <w:t>4.Спосіб оплати за послугу розподілу (передачі) електричної енергії</w:t>
            </w:r>
          </w:p>
        </w:tc>
        <w:tc>
          <w:tcPr>
            <w:tcW w:w="67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4.1. Через Постачальника з наступним переведенням цієї оплати оператору системи.</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4.2. Оплата послуги з розподілу (передачі) електричної енергії здійснюється Споживачем на підставі виставленого Постачальником окремого рахунку з розподілу (передачі) електричної енергії або на підставі рахунку за спожиту електричну енергію, в якому Постачальником окремим рядком зазначаються дані про вартість послуги з розподілу (передачі) електричної енергії.</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 Розрахунок вартості послуг з розподілу (передачі) електричної енергії здійснюється на підставі регульованих тарифів на послугу з розподілу (передачі) оператору систем розподілу (передачі)  та з врахуванням обсягів розподіленої (переданої) електричної енергії Споживачу відповідно до даних комерційного обліку.</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4.3. Зміна регульованих тарифів на послугу з розподілу (передачі) оператору систем розподілу (передачі), у встановленому законодавством порядку, є підставою для зміни Постачальником ціни цього Договору в односторонньому порядку.</w:t>
            </w:r>
          </w:p>
        </w:tc>
        <w:bookmarkStart w:id="0" w:name="_GoBack"/>
        <w:bookmarkEnd w:id="0"/>
      </w:tr>
      <w:tr w:rsidR="008C3F1C" w:rsidRPr="008C3F1C" w:rsidTr="008C3F1C">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5.Спосіб та терміни оплати</w:t>
            </w:r>
          </w:p>
        </w:tc>
        <w:tc>
          <w:tcPr>
            <w:tcW w:w="67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5.1. Оплата за фактично спожиту електроенергію визначається відповідно до даних комерційного обліку</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5.2. Термін надання остаточного рахунку за спожиту електроенергію електропостачальником – протягом 3 робочих днів з моменту отримання інформації про обсяги споживання, згідно з даними комерційного обліку</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5.3. Термін оплати рахунків – 5 робочих днів від дати отримання рахунку.</w:t>
            </w:r>
          </w:p>
        </w:tc>
      </w:tr>
      <w:tr w:rsidR="008C3F1C" w:rsidRPr="008C3F1C" w:rsidTr="008C3F1C">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6.Термін виставлення рахунку за електричну енергію та терміни його оплати</w:t>
            </w:r>
          </w:p>
        </w:tc>
        <w:tc>
          <w:tcPr>
            <w:tcW w:w="67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6.1. Здійснення розрахунків за електричну енергію – система онлайн-розрахунків «Персональний кабінет» на web-сайті Постачальника (далі – Персональний кабінет).</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6.2. Для реєстрації у Персональному кабінеті Споживач використовує такі дані:</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6.2.1. ім’я та прізвище відповідальної особи _______________________________________________;</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6.2.2. електронна пошта______________@___________;</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6.2.3. контактний номер мобільного телефону.</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6.3. Онлайн-розрахунки Сторони проводять в електронному вигляді, а саме:</w:t>
            </w:r>
            <w:r w:rsidRPr="008C3F1C">
              <w:rPr>
                <w:rFonts w:ascii="Arial" w:eastAsia="Times New Roman" w:hAnsi="Arial" w:cs="Arial"/>
                <w:i/>
                <w:iCs/>
                <w:color w:val="515052"/>
                <w:sz w:val="21"/>
                <w:szCs w:val="21"/>
                <w:lang w:eastAsia="uk-UA"/>
              </w:rPr>
              <w:t> </w:t>
            </w:r>
            <w:r w:rsidRPr="008C3F1C">
              <w:rPr>
                <w:rFonts w:ascii="Arial" w:eastAsia="Times New Roman" w:hAnsi="Arial" w:cs="Arial"/>
                <w:color w:val="515052"/>
                <w:sz w:val="21"/>
                <w:szCs w:val="21"/>
                <w:lang w:eastAsia="uk-UA"/>
              </w:rPr>
              <w:t xml:space="preserve">акти, рахунки, повідомлення про припинення постачання електроенергії, акти звірки та інші документи (далі - Документи), якими Сторони здійснюють обмін у процесі виконання цього Договору надаються Сторонами в електронному вигляді </w:t>
            </w:r>
            <w:r w:rsidRPr="008C3F1C">
              <w:rPr>
                <w:rFonts w:ascii="Arial" w:eastAsia="Times New Roman" w:hAnsi="Arial" w:cs="Arial"/>
                <w:color w:val="515052"/>
                <w:sz w:val="21"/>
                <w:szCs w:val="21"/>
                <w:lang w:eastAsia="uk-UA"/>
              </w:rPr>
              <w:lastRenderedPageBreak/>
              <w:t>через  Персональний кабінет. Такі електронні документи визначаються Сторонами як офіційні.</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6.4. Споживач самостійно отримує рахунок на оплату електричної енергії не пізніше 10 (десятого) календарного дня наступного за розрахунковим періодом у Персональному кабінеті. Якщо рахунок за електроенергію не був отриманий Споживачем через Персональний кабінет на 10 (десятий) календарний день наступний за розрахунковим – він вважається таким, що вручений Постачальником Споживачу 10 (десятого) календарного дня наступного за розрахунковим місяцем та Споживач вважається з ними ознайомлений. Строк оплати такого рахунку обчислюється з наступного робочого дня після його вручення.</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6.5. Всі інформаційні повідомлення Постачальник направляє на електронну пошту Споживача та/або номер мобільного телефону (вказані у цьому Договорі). У разі зміни реєстраційних даних Споживач зобов’язується повідомити Постачальника про такі зміни та підписати додатковий правочин. У випадку неповідомлення Споживачем Постачальника про зміну реєстраційних даних, відповідальність за невиконання або неналежне виконання умов Договору несе Споживач. Сторони зобов’язуються не розголошувати реєстраційні дані, зокрема пароль доступу до Персонального кабінету та унікальний код Споживача.</w:t>
            </w:r>
          </w:p>
        </w:tc>
      </w:tr>
      <w:tr w:rsidR="008C3F1C" w:rsidRPr="008C3F1C" w:rsidTr="008C3F1C">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lastRenderedPageBreak/>
              <w:t>7.Розмір пені/ штрафу за порушення термінів оплати</w:t>
            </w:r>
          </w:p>
        </w:tc>
        <w:tc>
          <w:tcPr>
            <w:tcW w:w="67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7.1. За порушення термінів оплати за спожиту електроенергію, визначених відповідним Договором, Споживач сплачує Постачальнику пеню у розмірі подвійної облікової ставки НБУ за кожен день прострочення платежу, враховуючи день фактичної оплати, 3 % річних та інфляційні збитки. Ця сума зазначається у розрахунковому документі окремим рядком. Даний пункт у період воєнного стану не застосовується.</w:t>
            </w:r>
          </w:p>
        </w:tc>
      </w:tr>
      <w:tr w:rsidR="008C3F1C" w:rsidRPr="008C3F1C" w:rsidTr="008C3F1C">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8.Термін дії договору та умови пролонгації</w:t>
            </w:r>
          </w:p>
        </w:tc>
        <w:tc>
          <w:tcPr>
            <w:tcW w:w="67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8.1. Договір набирає чинності з дати постачання електричної енергії, вказаної у Заяві-приєднання Споживача до умов публічного договору про постачання електричної енергії, якщо протягом трьох робочих днів споживачу не буде повідомлено про його невідповідність критеріям обраної комерційної пропозиції.</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відкладальною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8.2. 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№2 «Для побутових потреб (по факту) із застосуванням ціни, не диференційованої за періодами часу (годинами) доби».</w:t>
            </w:r>
            <w:r w:rsidRPr="008C3F1C">
              <w:rPr>
                <w:rFonts w:ascii="Arial" w:eastAsia="Times New Roman" w:hAnsi="Arial" w:cs="Arial"/>
                <w:b/>
                <w:bCs/>
                <w:color w:val="515052"/>
                <w:sz w:val="21"/>
                <w:szCs w:val="21"/>
                <w:lang w:eastAsia="uk-UA"/>
              </w:rPr>
              <w:t> </w:t>
            </w:r>
            <w:r w:rsidRPr="008C3F1C">
              <w:rPr>
                <w:rFonts w:ascii="Arial" w:eastAsia="Times New Roman" w:hAnsi="Arial" w:cs="Arial"/>
                <w:color w:val="515052"/>
                <w:sz w:val="21"/>
                <w:szCs w:val="21"/>
                <w:lang w:eastAsia="uk-UA"/>
              </w:rPr>
              <w:t xml:space="preserve">Договір вважається автоиатично продовженим на кожен  наступний місяць, якщо за 21 календарний день до закінчення терміну дії </w:t>
            </w:r>
            <w:r w:rsidRPr="008C3F1C">
              <w:rPr>
                <w:rFonts w:ascii="Arial" w:eastAsia="Times New Roman" w:hAnsi="Arial" w:cs="Arial"/>
                <w:color w:val="515052"/>
                <w:sz w:val="21"/>
                <w:szCs w:val="21"/>
                <w:lang w:eastAsia="uk-UA"/>
              </w:rPr>
              <w:lastRenderedPageBreak/>
              <w:t>Договору жодною із Сторін не буде заявлено про припинення його дії або перегляд його умов.</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8.3.      Дія Договору припиняється з таких підстав:</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8.3.1. 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8.3.2.  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8.3.3.   Банкрутства або припинення господарської діяльності Постачальником;</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8.3.4. У разі зміни Постачальника - у частині постачання електроенергії;</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8.3.5.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 </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8.4.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8.5. Договір може бути пролонгований на аналогічний період (на такий же термін) за умови відсутності письмового повідомлення від однієї із сторін про розірвання Договору.</w:t>
            </w:r>
          </w:p>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 xml:space="preserve">8.6.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сплином встановленого строку для обрання комерційної пропозиції (у разі її необрання споживачем) договір  набирає чинності на умовах нової </w:t>
            </w:r>
            <w:r w:rsidRPr="008C3F1C">
              <w:rPr>
                <w:rFonts w:ascii="Arial" w:eastAsia="Times New Roman" w:hAnsi="Arial" w:cs="Arial"/>
                <w:color w:val="515052"/>
                <w:sz w:val="21"/>
                <w:szCs w:val="21"/>
                <w:lang w:eastAsia="uk-UA"/>
              </w:rPr>
              <w:lastRenderedPageBreak/>
              <w:t>комерційної пропозиції, визначеної постачальником, про що повідомляється споживач.</w:t>
            </w:r>
          </w:p>
        </w:tc>
      </w:tr>
      <w:tr w:rsidR="008C3F1C" w:rsidRPr="008C3F1C" w:rsidTr="008C3F1C">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lastRenderedPageBreak/>
              <w:t>9.Компенсація за недотримання комерційної якості надання послуг</w:t>
            </w:r>
          </w:p>
        </w:tc>
        <w:tc>
          <w:tcPr>
            <w:tcW w:w="67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9.1. Компенсація за недотримання постачальником комерційної якості надання послуг надається у порядку та розмірі, визначеному НКРЕКП.</w:t>
            </w:r>
          </w:p>
        </w:tc>
      </w:tr>
      <w:tr w:rsidR="008C3F1C" w:rsidRPr="008C3F1C" w:rsidTr="008C3F1C">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10.Звіряння розрахунків</w:t>
            </w:r>
          </w:p>
        </w:tc>
        <w:tc>
          <w:tcPr>
            <w:tcW w:w="67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10.1. Звіряння фактичних розрахунків з підписанням відповідного акту проводиться за вимогою Сторін.</w:t>
            </w:r>
          </w:p>
        </w:tc>
      </w:tr>
      <w:tr w:rsidR="008C3F1C" w:rsidRPr="008C3F1C" w:rsidTr="008C3F1C">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11.Територія здійснення ліцензованої діяльності</w:t>
            </w:r>
          </w:p>
        </w:tc>
        <w:tc>
          <w:tcPr>
            <w:tcW w:w="67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11.1. території Івано-Франківської області.</w:t>
            </w:r>
          </w:p>
        </w:tc>
      </w:tr>
      <w:tr w:rsidR="008C3F1C" w:rsidRPr="008C3F1C" w:rsidTr="008C3F1C">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12.Урахування пільг, субсидій</w:t>
            </w:r>
          </w:p>
        </w:tc>
        <w:tc>
          <w:tcPr>
            <w:tcW w:w="67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12.1. Відсутнє.</w:t>
            </w:r>
          </w:p>
        </w:tc>
      </w:tr>
      <w:tr w:rsidR="008C3F1C" w:rsidRPr="008C3F1C" w:rsidTr="008C3F1C">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13.Постачання захищеним споживачам</w:t>
            </w:r>
          </w:p>
        </w:tc>
        <w:tc>
          <w:tcPr>
            <w:tcW w:w="672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color w:val="515052"/>
                <w:sz w:val="21"/>
                <w:szCs w:val="21"/>
                <w:lang w:eastAsia="uk-UA"/>
              </w:rPr>
              <w:t>13.1. Відсутнє.</w:t>
            </w:r>
          </w:p>
        </w:tc>
      </w:tr>
      <w:tr w:rsidR="008C3F1C" w:rsidRPr="008C3F1C" w:rsidTr="008C3F1C">
        <w:tc>
          <w:tcPr>
            <w:tcW w:w="9915" w:type="dxa"/>
            <w:gridSpan w:val="2"/>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C3F1C" w:rsidRPr="008C3F1C" w:rsidRDefault="008C3F1C" w:rsidP="008C3F1C">
            <w:pPr>
              <w:spacing w:before="100" w:beforeAutospacing="1" w:after="360" w:line="240" w:lineRule="auto"/>
              <w:rPr>
                <w:rFonts w:ascii="Arial" w:eastAsia="Times New Roman" w:hAnsi="Arial" w:cs="Arial"/>
                <w:color w:val="515052"/>
                <w:sz w:val="21"/>
                <w:szCs w:val="21"/>
                <w:lang w:eastAsia="uk-UA"/>
              </w:rPr>
            </w:pPr>
            <w:r w:rsidRPr="008C3F1C">
              <w:rPr>
                <w:rFonts w:ascii="Arial" w:eastAsia="Times New Roman" w:hAnsi="Arial" w:cs="Arial"/>
                <w:i/>
                <w:iCs/>
                <w:color w:val="515052"/>
                <w:sz w:val="21"/>
                <w:szCs w:val="21"/>
                <w:lang w:eastAsia="uk-UA"/>
              </w:rPr>
              <w:t>Дана комерційна пропозиція чинна з ____________ 2023 року  по 31 грудня 2023 року.</w:t>
            </w:r>
          </w:p>
        </w:tc>
      </w:tr>
    </w:tbl>
    <w:p w:rsidR="008C3F1C" w:rsidRPr="008C3F1C" w:rsidRDefault="008C3F1C" w:rsidP="008C3F1C">
      <w:pPr>
        <w:spacing w:before="100" w:beforeAutospacing="1" w:after="360" w:line="240" w:lineRule="auto"/>
        <w:rPr>
          <w:rFonts w:ascii="Arial" w:eastAsia="Times New Roman" w:hAnsi="Arial" w:cs="Arial"/>
          <w:color w:val="515052"/>
          <w:sz w:val="24"/>
          <w:szCs w:val="24"/>
          <w:lang w:eastAsia="uk-UA"/>
        </w:rPr>
      </w:pPr>
      <w:r w:rsidRPr="008C3F1C">
        <w:rPr>
          <w:rFonts w:ascii="Arial" w:eastAsia="Times New Roman" w:hAnsi="Arial" w:cs="Arial"/>
          <w:color w:val="515052"/>
          <w:sz w:val="24"/>
          <w:szCs w:val="24"/>
          <w:lang w:eastAsia="uk-UA"/>
        </w:rPr>
        <w:t> </w:t>
      </w:r>
    </w:p>
    <w:p w:rsidR="008C3F1C" w:rsidRPr="008C3F1C" w:rsidRDefault="008C3F1C" w:rsidP="008C3F1C">
      <w:pPr>
        <w:spacing w:before="100" w:beforeAutospacing="1" w:after="360" w:line="240" w:lineRule="auto"/>
        <w:rPr>
          <w:rFonts w:ascii="Arial" w:eastAsia="Times New Roman" w:hAnsi="Arial" w:cs="Arial"/>
          <w:color w:val="515052"/>
          <w:sz w:val="24"/>
          <w:szCs w:val="24"/>
          <w:lang w:eastAsia="uk-UA"/>
        </w:rPr>
      </w:pPr>
      <w:r w:rsidRPr="008C3F1C">
        <w:rPr>
          <w:rFonts w:ascii="Arial" w:eastAsia="Times New Roman" w:hAnsi="Arial" w:cs="Arial"/>
          <w:i/>
          <w:iCs/>
          <w:color w:val="515052"/>
          <w:sz w:val="24"/>
          <w:szCs w:val="24"/>
          <w:lang w:eastAsia="uk-UA"/>
        </w:rPr>
        <w:t>________________          ________________          _________________                         _____________</w:t>
      </w:r>
    </w:p>
    <w:p w:rsidR="008C3F1C" w:rsidRPr="008C3F1C" w:rsidRDefault="008C3F1C" w:rsidP="008C3F1C">
      <w:pPr>
        <w:spacing w:before="100" w:beforeAutospacing="1" w:after="360" w:line="240" w:lineRule="auto"/>
        <w:rPr>
          <w:rFonts w:ascii="Arial" w:eastAsia="Times New Roman" w:hAnsi="Arial" w:cs="Arial"/>
          <w:color w:val="515052"/>
          <w:sz w:val="24"/>
          <w:szCs w:val="24"/>
          <w:lang w:eastAsia="uk-UA"/>
        </w:rPr>
      </w:pPr>
      <w:r w:rsidRPr="008C3F1C">
        <w:rPr>
          <w:rFonts w:ascii="Arial" w:eastAsia="Times New Roman" w:hAnsi="Arial" w:cs="Arial"/>
          <w:i/>
          <w:iCs/>
          <w:color w:val="515052"/>
          <w:sz w:val="24"/>
          <w:szCs w:val="24"/>
          <w:lang w:eastAsia="uk-UA"/>
        </w:rPr>
        <w:t>   Назва Споживача                  Посада                   Підпис Споживача                            Дат</w:t>
      </w:r>
    </w:p>
    <w:p w:rsidR="00650C55" w:rsidRDefault="00650C55"/>
    <w:sectPr w:rsidR="00650C55" w:rsidSect="008C3F1C">
      <w:pgSz w:w="11906" w:h="16838"/>
      <w:pgMar w:top="850" w:right="141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0170D"/>
    <w:multiLevelType w:val="multilevel"/>
    <w:tmpl w:val="E3EC5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C6"/>
    <w:rsid w:val="004E64C6"/>
    <w:rsid w:val="00650C55"/>
    <w:rsid w:val="008C3F1C"/>
    <w:rsid w:val="00C07E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122DD-2407-41D8-ABF1-2EBB3E2B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F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C3F1C"/>
    <w:rPr>
      <w:b/>
      <w:bCs/>
    </w:rPr>
  </w:style>
  <w:style w:type="character" w:styleId="a5">
    <w:name w:val="Emphasis"/>
    <w:basedOn w:val="a0"/>
    <w:uiPriority w:val="20"/>
    <w:qFormat/>
    <w:rsid w:val="008C3F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16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6521</Words>
  <Characters>3717</Characters>
  <Application>Microsoft Office Word</Application>
  <DocSecurity>0</DocSecurity>
  <Lines>30</Lines>
  <Paragraphs>20</Paragraphs>
  <ScaleCrop>false</ScaleCrop>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Лесюк Ольга Олегівна</dc:creator>
  <cp:keywords/>
  <dc:description/>
  <cp:lastModifiedBy>Лесюк Ольга Олегівна</cp:lastModifiedBy>
  <cp:revision>2</cp:revision>
  <dcterms:created xsi:type="dcterms:W3CDTF">2023-12-15T08:53:00Z</dcterms:created>
  <dcterms:modified xsi:type="dcterms:W3CDTF">2023-12-15T08:53:00Z</dcterms:modified>
</cp:coreProperties>
</file>