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75" w:type="dxa"/>
        <w:tblLayout w:type="fixed"/>
        <w:tblCellMar>
          <w:left w:w="0" w:type="dxa"/>
          <w:right w:w="0" w:type="dxa"/>
        </w:tblCellMar>
        <w:tblLook w:val="04A0" w:firstRow="1" w:lastRow="0" w:firstColumn="1" w:lastColumn="0" w:noHBand="0" w:noVBand="1"/>
      </w:tblPr>
      <w:tblGrid>
        <w:gridCol w:w="2734"/>
        <w:gridCol w:w="8039"/>
      </w:tblGrid>
      <w:tr w:rsidR="0077785F" w:rsidRPr="0077785F" w:rsidTr="0077785F">
        <w:trPr>
          <w:trHeight w:val="10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1.Дана комерційна пропозиція застосовується для</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1.1 Побутових 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bookmarkStart w:id="0" w:name="_GoBack"/>
            <w:bookmarkEnd w:id="0"/>
          </w:p>
        </w:tc>
      </w:tr>
      <w:tr w:rsidR="0077785F" w:rsidRPr="0077785F" w:rsidTr="0077785F">
        <w:trPr>
          <w:trHeight w:val="223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2.Ціна електричної енергії.</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2.1 Розрахунок за спожиту електроенергію за цінами, встановленими постановами Кабінету Міністрів України  чи іншими нормативно правовими актами.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bl>
            <w:tblPr>
              <w:tblpPr w:leftFromText="45" w:rightFromText="45" w:vertAnchor="text"/>
              <w:tblW w:w="0" w:type="dxa"/>
              <w:tblLayout w:type="fixed"/>
              <w:tblCellMar>
                <w:left w:w="0" w:type="dxa"/>
                <w:right w:w="0" w:type="dxa"/>
              </w:tblCellMar>
              <w:tblLook w:val="04A0" w:firstRow="1" w:lastRow="0" w:firstColumn="1" w:lastColumn="0" w:noHBand="0" w:noVBand="1"/>
            </w:tblPr>
            <w:tblGrid>
              <w:gridCol w:w="1271"/>
              <w:gridCol w:w="992"/>
              <w:gridCol w:w="993"/>
              <w:gridCol w:w="992"/>
              <w:gridCol w:w="992"/>
              <w:gridCol w:w="992"/>
              <w:gridCol w:w="993"/>
            </w:tblGrid>
            <w:tr w:rsidR="0077785F" w:rsidRPr="0077785F" w:rsidTr="0077785F">
              <w:trPr>
                <w:trHeight w:val="480"/>
              </w:trPr>
              <w:tc>
                <w:tcPr>
                  <w:tcW w:w="1271" w:type="dxa"/>
                  <w:vMerge w:val="restart"/>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Місячний обсяг споживання</w:t>
                  </w:r>
                </w:p>
              </w:tc>
              <w:tc>
                <w:tcPr>
                  <w:tcW w:w="1985"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Діє: з 8-ї до 11-ї години ;        з 20-ї до 22-ї години.</w:t>
                  </w:r>
                </w:p>
              </w:tc>
              <w:tc>
                <w:tcPr>
                  <w:tcW w:w="198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Діє: з 7-ї до 8-ї години;                з 11-ї до 20-ї години;                  з 22-ї до 23-ї години.</w:t>
                  </w:r>
                </w:p>
              </w:tc>
              <w:tc>
                <w:tcPr>
                  <w:tcW w:w="1985"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Діє: з 23-ї до 7-ї години.</w:t>
                  </w:r>
                </w:p>
              </w:tc>
            </w:tr>
            <w:tr w:rsidR="0077785F" w:rsidRPr="0077785F" w:rsidTr="0077785F">
              <w:trPr>
                <w:trHeight w:val="485"/>
              </w:trPr>
              <w:tc>
                <w:tcPr>
                  <w:tcW w:w="983" w:type="dxa"/>
                  <w:vMerge/>
                  <w:tcBorders>
                    <w:top w:val="outset" w:sz="6" w:space="0" w:color="BFBFBF"/>
                    <w:left w:val="outset" w:sz="6" w:space="0" w:color="BFBFBF"/>
                    <w:bottom w:val="outset" w:sz="6" w:space="0" w:color="BFBFBF"/>
                    <w:right w:val="outset" w:sz="6" w:space="0" w:color="BFBFBF"/>
                  </w:tcBorders>
                  <w:vAlign w:val="center"/>
                  <w:hideMark/>
                </w:tcPr>
                <w:p w:rsidR="0077785F" w:rsidRPr="0077785F" w:rsidRDefault="0077785F" w:rsidP="0077785F">
                  <w:pPr>
                    <w:spacing w:after="0" w:line="240" w:lineRule="auto"/>
                    <w:rPr>
                      <w:rFonts w:ascii="Times New Roman" w:eastAsia="Times New Roman" w:hAnsi="Times New Roman" w:cs="Times New Roman"/>
                      <w:color w:val="515052"/>
                      <w:sz w:val="21"/>
                      <w:szCs w:val="21"/>
                      <w:lang w:eastAsia="uk-UA"/>
                    </w:rPr>
                  </w:pP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без ПДВ</w:t>
                  </w:r>
                </w:p>
              </w:tc>
              <w:tc>
                <w:tcPr>
                  <w:tcW w:w="99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з ПДВ</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без ПДВ</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з ПДВ</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без ПДВ</w:t>
                  </w:r>
                </w:p>
              </w:tc>
              <w:tc>
                <w:tcPr>
                  <w:tcW w:w="99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b/>
                      <w:bCs/>
                      <w:color w:val="515052"/>
                      <w:sz w:val="21"/>
                      <w:szCs w:val="21"/>
                      <w:lang w:eastAsia="uk-UA"/>
                    </w:rPr>
                    <w:t>грн/кВт*год    з ПДВ</w:t>
                  </w:r>
                </w:p>
              </w:tc>
            </w:tr>
            <w:tr w:rsidR="0077785F" w:rsidRPr="0077785F" w:rsidTr="0077785F">
              <w:trPr>
                <w:trHeight w:val="981"/>
              </w:trPr>
              <w:tc>
                <w:tcPr>
                  <w:tcW w:w="127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за весь обсяг споживання</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3,30</w:t>
                  </w:r>
                </w:p>
              </w:tc>
              <w:tc>
                <w:tcPr>
                  <w:tcW w:w="99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3,96</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2,20</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2,64</w:t>
                  </w:r>
                </w:p>
              </w:tc>
              <w:tc>
                <w:tcPr>
                  <w:tcW w:w="9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0,88</w:t>
                  </w:r>
                </w:p>
              </w:tc>
              <w:tc>
                <w:tcPr>
                  <w:tcW w:w="99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 </w:t>
                  </w:r>
                </w:p>
                <w:p w:rsidR="0077785F" w:rsidRPr="0077785F" w:rsidRDefault="0077785F" w:rsidP="0077785F">
                  <w:pPr>
                    <w:spacing w:before="100" w:beforeAutospacing="1" w:after="360" w:line="240" w:lineRule="auto"/>
                    <w:rPr>
                      <w:rFonts w:ascii="Times New Roman" w:eastAsia="Times New Roman" w:hAnsi="Times New Roman" w:cs="Times New Roman"/>
                      <w:color w:val="515052"/>
                      <w:sz w:val="21"/>
                      <w:szCs w:val="21"/>
                      <w:lang w:eastAsia="uk-UA"/>
                    </w:rPr>
                  </w:pPr>
                  <w:r w:rsidRPr="0077785F">
                    <w:rPr>
                      <w:rFonts w:ascii="Times New Roman" w:eastAsia="Times New Roman" w:hAnsi="Times New Roman" w:cs="Times New Roman"/>
                      <w:color w:val="515052"/>
                      <w:sz w:val="21"/>
                      <w:szCs w:val="21"/>
                      <w:lang w:eastAsia="uk-UA"/>
                    </w:rPr>
                    <w:t>1,056</w:t>
                  </w:r>
                </w:p>
              </w:tc>
            </w:tr>
          </w:tbl>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3.Розрахунковий період.</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numPr>
                <w:ilvl w:val="0"/>
                <w:numId w:val="1"/>
              </w:numPr>
              <w:spacing w:before="100" w:beforeAutospacing="1" w:after="100" w:afterAutospacing="1" w:line="240" w:lineRule="auto"/>
              <w:ind w:left="180"/>
              <w:rPr>
                <w:rFonts w:ascii="Arial" w:eastAsia="Times New Roman" w:hAnsi="Arial" w:cs="Arial"/>
                <w:color w:val="454445"/>
                <w:sz w:val="21"/>
                <w:szCs w:val="21"/>
                <w:lang w:eastAsia="uk-UA"/>
              </w:rPr>
            </w:pPr>
          </w:p>
          <w:p w:rsidR="0077785F" w:rsidRPr="0077785F" w:rsidRDefault="0077785F" w:rsidP="0077785F">
            <w:pPr>
              <w:numPr>
                <w:ilvl w:val="1"/>
                <w:numId w:val="1"/>
              </w:numPr>
              <w:spacing w:before="100" w:beforeAutospacing="1"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Календарний місяць (починаючи з першого по останній день кожного місяця).</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4.Спосіб оплати.</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4.1 Оплата за фактично спожиту електроенергію визначається  відповідно до даних комерційного обліку.</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rPr>
          <w:trHeight w:val="729"/>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5.Спосіб оплати за послугу розподілу(передачі) електричної енергії .</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5.1  Оплата за послугу розподілу (передачі) електричної енергії здійснюється Постачальнику з наступним переведенням цієї оплати Постачальником оператору системи.</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6.Термін виставлення рахунку за електричну енергію та строки та способи його оплати</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6.1 Платіжні документи (рахунки) на оплату надаються Постачальником споживачу у місяці, наступному за розрахунковим,  одним із способів:</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у відповідному Центрі обслуговування користувачів;</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через Персональний кабінет споживача;</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електронною поштою;</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факсимільним зв’язком;</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 поштовим зв’язком;</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 кур’єром;</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 мобільним додатком Постачальника;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proofErr w:type="spellStart"/>
            <w:r w:rsidRPr="0077785F">
              <w:rPr>
                <w:rFonts w:ascii="Arial" w:eastAsia="Times New Roman" w:hAnsi="Arial" w:cs="Arial"/>
                <w:color w:val="515052"/>
                <w:sz w:val="21"/>
                <w:szCs w:val="21"/>
                <w:lang w:eastAsia="uk-UA"/>
              </w:rPr>
              <w:t>Споживачі,які</w:t>
            </w:r>
            <w:proofErr w:type="spellEnd"/>
            <w:r w:rsidRPr="0077785F">
              <w:rPr>
                <w:rFonts w:ascii="Arial" w:eastAsia="Times New Roman" w:hAnsi="Arial" w:cs="Arial"/>
                <w:color w:val="515052"/>
                <w:sz w:val="21"/>
                <w:szCs w:val="21"/>
                <w:lang w:eastAsia="uk-UA"/>
              </w:rPr>
              <w:t xml:space="preserve"> користуються Персональним кабінетом та мобільним додатком Постачальника самостійно формують рахунки на оплату за спожиту електричну енергію.</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6.2  Термін оплати рахунків - 10 робочих днів від дати отримання рахунка, але не пізніше 20 календарного дня після закінчення розрахункового періоду.</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Споживач може здійснювати оплату за спожиту електричну енергію:</w:t>
            </w:r>
          </w:p>
          <w:p w:rsidR="0077785F" w:rsidRPr="0077785F" w:rsidRDefault="0077785F" w:rsidP="0077785F">
            <w:pPr>
              <w:numPr>
                <w:ilvl w:val="0"/>
                <w:numId w:val="2"/>
              </w:numPr>
              <w:spacing w:before="100" w:beforeAutospacing="1"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 xml:space="preserve">у системі онлайн-розрахунків «Персональний кабінет» на </w:t>
            </w:r>
            <w:proofErr w:type="spellStart"/>
            <w:r w:rsidRPr="0077785F">
              <w:rPr>
                <w:rFonts w:ascii="Arial" w:eastAsia="Times New Roman" w:hAnsi="Arial" w:cs="Arial"/>
                <w:color w:val="454445"/>
                <w:sz w:val="21"/>
                <w:szCs w:val="21"/>
                <w:lang w:eastAsia="uk-UA"/>
              </w:rPr>
              <w:t>web</w:t>
            </w:r>
            <w:proofErr w:type="spellEnd"/>
            <w:r w:rsidRPr="0077785F">
              <w:rPr>
                <w:rFonts w:ascii="Arial" w:eastAsia="Times New Roman" w:hAnsi="Arial" w:cs="Arial"/>
                <w:color w:val="454445"/>
                <w:sz w:val="21"/>
                <w:szCs w:val="21"/>
                <w:lang w:eastAsia="uk-UA"/>
              </w:rPr>
              <w:t>-сайті Постачальника (далі – Персональний кабінет). Для реєстрації у Персональному кабінеті Споживач використовує такі дані:</w:t>
            </w:r>
          </w:p>
          <w:p w:rsidR="0077785F" w:rsidRPr="0077785F" w:rsidRDefault="0077785F" w:rsidP="0077785F">
            <w:pPr>
              <w:numPr>
                <w:ilvl w:val="0"/>
                <w:numId w:val="3"/>
              </w:numPr>
              <w:spacing w:before="100" w:beforeAutospacing="1"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lastRenderedPageBreak/>
              <w:t>електронна пошта ___________@___________;</w:t>
            </w:r>
          </w:p>
          <w:p w:rsidR="0077785F" w:rsidRPr="0077785F" w:rsidRDefault="0077785F" w:rsidP="0077785F">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ім’я та прізвище відповідальної особи ____________________;</w:t>
            </w:r>
          </w:p>
          <w:p w:rsidR="0077785F" w:rsidRPr="0077785F" w:rsidRDefault="0077785F" w:rsidP="0077785F">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номер мобільного телефону __________________.</w:t>
            </w:r>
          </w:p>
          <w:p w:rsidR="0077785F" w:rsidRPr="0077785F" w:rsidRDefault="0077785F" w:rsidP="0077785F">
            <w:pPr>
              <w:numPr>
                <w:ilvl w:val="0"/>
                <w:numId w:val="4"/>
              </w:numPr>
              <w:spacing w:before="100" w:beforeAutospacing="1"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через платіжні термінали чи системи інтернет-розрахунків;</w:t>
            </w:r>
          </w:p>
          <w:p w:rsidR="0077785F" w:rsidRPr="0077785F" w:rsidRDefault="0077785F" w:rsidP="0077785F">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у банківських відділеннях;</w:t>
            </w:r>
          </w:p>
          <w:p w:rsidR="0077785F" w:rsidRPr="0077785F" w:rsidRDefault="0077785F" w:rsidP="0077785F">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у відділеннях зв’язку АТ «Укрпошти»;</w:t>
            </w:r>
          </w:p>
          <w:p w:rsidR="0077785F" w:rsidRPr="0077785F" w:rsidRDefault="0077785F" w:rsidP="0077785F">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в інший не заборонений законодавством спосіб.</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xml:space="preserve">Інформацію про суму до оплати можна отримати через систему онлайн-розрахунків «Персональний кабінет» на </w:t>
            </w:r>
            <w:proofErr w:type="spellStart"/>
            <w:r w:rsidRPr="0077785F">
              <w:rPr>
                <w:rFonts w:ascii="Arial" w:eastAsia="Times New Roman" w:hAnsi="Arial" w:cs="Arial"/>
                <w:color w:val="515052"/>
                <w:sz w:val="21"/>
                <w:szCs w:val="21"/>
                <w:lang w:eastAsia="uk-UA"/>
              </w:rPr>
              <w:t>web</w:t>
            </w:r>
            <w:proofErr w:type="spellEnd"/>
            <w:r w:rsidRPr="0077785F">
              <w:rPr>
                <w:rFonts w:ascii="Arial" w:eastAsia="Times New Roman" w:hAnsi="Arial" w:cs="Arial"/>
                <w:color w:val="515052"/>
                <w:sz w:val="21"/>
                <w:szCs w:val="21"/>
                <w:lang w:eastAsia="uk-UA"/>
              </w:rPr>
              <w:t>-сайті Постачальника, системи інтернет-розрахунків та у банківських відділеннях (АТ «Ощадбанк», ПАТ КБ «Приватбанк», </w:t>
            </w:r>
            <w:r w:rsidRPr="0077785F">
              <w:rPr>
                <w:rFonts w:ascii="Arial" w:eastAsia="Times New Roman" w:hAnsi="Arial" w:cs="Arial"/>
                <w:b/>
                <w:bCs/>
                <w:color w:val="515052"/>
                <w:sz w:val="21"/>
                <w:szCs w:val="21"/>
                <w:lang w:eastAsia="uk-UA"/>
              </w:rPr>
              <w:t>АТ «</w:t>
            </w:r>
            <w:proofErr w:type="spellStart"/>
            <w:r w:rsidRPr="0077785F">
              <w:rPr>
                <w:rFonts w:ascii="Arial" w:eastAsia="Times New Roman" w:hAnsi="Arial" w:cs="Arial"/>
                <w:b/>
                <w:bCs/>
                <w:color w:val="515052"/>
                <w:sz w:val="21"/>
                <w:szCs w:val="21"/>
                <w:lang w:eastAsia="uk-UA"/>
              </w:rPr>
              <w:t>Айбокс</w:t>
            </w:r>
            <w:proofErr w:type="spellEnd"/>
            <w:r w:rsidRPr="0077785F">
              <w:rPr>
                <w:rFonts w:ascii="Arial" w:eastAsia="Times New Roman" w:hAnsi="Arial" w:cs="Arial"/>
                <w:b/>
                <w:bCs/>
                <w:color w:val="515052"/>
                <w:sz w:val="21"/>
                <w:szCs w:val="21"/>
                <w:lang w:eastAsia="uk-UA"/>
              </w:rPr>
              <w:t xml:space="preserve"> Банк», </w:t>
            </w:r>
            <w:r w:rsidRPr="0077785F">
              <w:rPr>
                <w:rFonts w:ascii="Arial" w:eastAsia="Times New Roman" w:hAnsi="Arial" w:cs="Arial"/>
                <w:color w:val="515052"/>
                <w:sz w:val="21"/>
                <w:szCs w:val="21"/>
                <w:lang w:eastAsia="uk-UA"/>
              </w:rPr>
              <w:t xml:space="preserve">ПрАТ «Банк Фамільний»),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77785F">
              <w:rPr>
                <w:rFonts w:ascii="Arial" w:eastAsia="Times New Roman" w:hAnsi="Arial" w:cs="Arial"/>
                <w:color w:val="515052"/>
                <w:sz w:val="21"/>
                <w:szCs w:val="21"/>
                <w:lang w:eastAsia="uk-UA"/>
              </w:rPr>
              <w:t>кол</w:t>
            </w:r>
            <w:proofErr w:type="spellEnd"/>
            <w:r w:rsidRPr="0077785F">
              <w:rPr>
                <w:rFonts w:ascii="Arial" w:eastAsia="Times New Roman" w:hAnsi="Arial" w:cs="Arial"/>
                <w:color w:val="515052"/>
                <w:sz w:val="21"/>
                <w:szCs w:val="21"/>
                <w:lang w:eastAsia="uk-UA"/>
              </w:rPr>
              <w:t>-центру, які розміщені на сайті Постачальника.</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rPr>
          <w:trHeight w:val="1637"/>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7.Інформаційні повідомлення.</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numPr>
                <w:ilvl w:val="0"/>
                <w:numId w:val="5"/>
              </w:numPr>
              <w:spacing w:before="100" w:beforeAutospacing="1" w:after="100" w:afterAutospacing="1" w:line="240" w:lineRule="auto"/>
              <w:ind w:left="180"/>
              <w:rPr>
                <w:rFonts w:ascii="Arial" w:eastAsia="Times New Roman" w:hAnsi="Arial" w:cs="Arial"/>
                <w:color w:val="454445"/>
                <w:sz w:val="21"/>
                <w:szCs w:val="21"/>
                <w:lang w:eastAsia="uk-UA"/>
              </w:rPr>
            </w:pPr>
          </w:p>
          <w:p w:rsidR="0077785F" w:rsidRPr="0077785F" w:rsidRDefault="0077785F" w:rsidP="0077785F">
            <w:pPr>
              <w:numPr>
                <w:ilvl w:val="1"/>
                <w:numId w:val="5"/>
              </w:numPr>
              <w:spacing w:before="100" w:beforeAutospacing="1"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Всі інформаційні повідомлення Постачальник направляє:</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через особистий кабінет на своєму офіційному сайті у мережі Інтернет,</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засобами електронного зв'язку на електронну адресу вказану у заяві-приєднання до умов договору або надану іншим способом,</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СМС-повідомленням на номер, зазначений у заяві-приєднання до умов договору або наданий іншим способом,</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proofErr w:type="spellStart"/>
            <w:r w:rsidRPr="0077785F">
              <w:rPr>
                <w:rFonts w:ascii="Arial" w:eastAsia="Times New Roman" w:hAnsi="Arial" w:cs="Arial"/>
                <w:color w:val="454445"/>
                <w:sz w:val="21"/>
                <w:szCs w:val="21"/>
                <w:lang w:eastAsia="uk-UA"/>
              </w:rPr>
              <w:t>Push</w:t>
            </w:r>
            <w:proofErr w:type="spellEnd"/>
            <w:r w:rsidRPr="0077785F">
              <w:rPr>
                <w:rFonts w:ascii="Arial" w:eastAsia="Times New Roman" w:hAnsi="Arial" w:cs="Arial"/>
                <w:color w:val="454445"/>
                <w:sz w:val="21"/>
                <w:szCs w:val="21"/>
                <w:lang w:eastAsia="uk-UA"/>
              </w:rPr>
              <w:t>-повідомленням на мобільний додаток,</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у чат-боті,</w:t>
            </w:r>
          </w:p>
          <w:p w:rsidR="0077785F" w:rsidRPr="0077785F" w:rsidRDefault="0077785F" w:rsidP="0077785F">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77785F">
              <w:rPr>
                <w:rFonts w:ascii="Arial" w:eastAsia="Times New Roman" w:hAnsi="Arial" w:cs="Arial"/>
                <w:color w:val="454445"/>
                <w:sz w:val="21"/>
                <w:szCs w:val="21"/>
                <w:lang w:eastAsia="uk-UA"/>
              </w:rPr>
              <w:t>в центрах обслуговування споживачів,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тощо.</w:t>
            </w:r>
          </w:p>
        </w:tc>
      </w:tr>
      <w:tr w:rsidR="0077785F" w:rsidRPr="0077785F" w:rsidTr="0077785F">
        <w:trPr>
          <w:trHeight w:val="1269"/>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xml:space="preserve">8.Постачання електричної енергії вразливим </w:t>
            </w:r>
            <w:proofErr w:type="spellStart"/>
            <w:r w:rsidRPr="0077785F">
              <w:rPr>
                <w:rFonts w:ascii="Arial" w:eastAsia="Times New Roman" w:hAnsi="Arial" w:cs="Arial"/>
                <w:color w:val="515052"/>
                <w:sz w:val="21"/>
                <w:szCs w:val="21"/>
                <w:lang w:eastAsia="uk-UA"/>
              </w:rPr>
              <w:t>споживачам,урахування</w:t>
            </w:r>
            <w:proofErr w:type="spellEnd"/>
            <w:r w:rsidRPr="0077785F">
              <w:rPr>
                <w:rFonts w:ascii="Arial" w:eastAsia="Times New Roman" w:hAnsi="Arial" w:cs="Arial"/>
                <w:color w:val="515052"/>
                <w:sz w:val="21"/>
                <w:szCs w:val="21"/>
                <w:lang w:eastAsia="uk-UA"/>
              </w:rPr>
              <w:t xml:space="preserve"> пільг та субсидій.</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8.1 Надаються у порядку та розмірі визначеному чинним законодавством України*.</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w:t>
            </w:r>
          </w:p>
        </w:tc>
      </w:tr>
      <w:tr w:rsidR="0077785F" w:rsidRPr="0077785F" w:rsidTr="0077785F">
        <w:trPr>
          <w:trHeight w:val="668"/>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9.Розмір пені за порушення строків оплати</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9.1 За порушення термінів оплати за спожиту електроенергію, визначених відповідним Договором, Споживач сплачує Постачальнику пеню у розмірі 0,01%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Даний пункт у період воєнного стану не застосовується.</w:t>
            </w:r>
          </w:p>
        </w:tc>
      </w:tr>
      <w:tr w:rsidR="0077785F" w:rsidRPr="0077785F" w:rsidTr="0077785F">
        <w:trPr>
          <w:trHeight w:val="153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10.Штрафні санкції за дострокове припинення Договору з ініціативи Споживача (без попередження в термін)</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10.1 Відсутні.</w:t>
            </w:r>
          </w:p>
        </w:tc>
      </w:tr>
      <w:tr w:rsidR="0077785F" w:rsidRPr="0077785F" w:rsidTr="0077785F">
        <w:trPr>
          <w:trHeight w:val="1216"/>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11.Компенсація за недотримання комерційної якості надання послуг</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11.1 Компенсація за недотримання постачальником комерційної якості надання послуг надається у порядку та розмірі, визначеному НКРЕКП.</w:t>
            </w:r>
          </w:p>
        </w:tc>
      </w:tr>
      <w:tr w:rsidR="0077785F" w:rsidRPr="0077785F" w:rsidTr="0077785F">
        <w:trPr>
          <w:trHeight w:val="1024"/>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 Строк дії договору та умови пролонгації</w:t>
            </w:r>
          </w:p>
        </w:tc>
        <w:tc>
          <w:tcPr>
            <w:tcW w:w="8039" w:type="dxa"/>
            <w:tcBorders>
              <w:top w:val="outset" w:sz="6" w:space="0" w:color="BFBFBF"/>
              <w:left w:val="outset" w:sz="6" w:space="0" w:color="BFBFBF"/>
              <w:bottom w:val="outset" w:sz="6" w:space="0" w:color="BFBFBF"/>
              <w:right w:val="outset" w:sz="6" w:space="0" w:color="BFBFBF"/>
            </w:tcBorders>
            <w:shd w:val="clear" w:color="auto" w:fill="FFFFFF"/>
            <w:tcMar>
              <w:top w:w="180" w:type="dxa"/>
              <w:left w:w="180" w:type="dxa"/>
              <w:bottom w:w="180" w:type="dxa"/>
              <w:right w:w="180" w:type="dxa"/>
            </w:tcMar>
            <w:vAlign w:val="cente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12.1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№1.2  «Для дому з тризонним диференціюванням за періодами часу».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77785F">
              <w:rPr>
                <w:rFonts w:ascii="Arial" w:eastAsia="Times New Roman" w:hAnsi="Arial" w:cs="Arial"/>
                <w:color w:val="515052"/>
                <w:sz w:val="21"/>
                <w:szCs w:val="21"/>
                <w:lang w:eastAsia="uk-UA"/>
              </w:rPr>
              <w:t>відкладальною</w:t>
            </w:r>
            <w:proofErr w:type="spellEnd"/>
            <w:r w:rsidRPr="0077785F">
              <w:rPr>
                <w:rFonts w:ascii="Arial" w:eastAsia="Times New Roman" w:hAnsi="Arial" w:cs="Arial"/>
                <w:color w:val="515052"/>
                <w:sz w:val="21"/>
                <w:szCs w:val="21"/>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12.2 Термін дії договору в частині постачання електроенергії щодо об’єктів, що знаходяться в строковому користуванні –до кінця поточного року з умовою пролонгації договору відповідно до п.12.1  даної комерційної пропозиції в межах терміну, що зазначений у документі, який підтверджує право користування.</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12.3 В частині зобов’язань сторін, що виникли під час дії договору – договір діє до повного їх виконання .</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12.4      Дія Договору припиняється з таких підстав:</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12.4.1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12.4.2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12.4.3 Банкрутства або припинення господарської діяльності Постачальником;</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12.4.4    У разі зміни Постачальника - у частині постачання електроенергії;</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12.4.5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77785F">
              <w:rPr>
                <w:rFonts w:ascii="Arial" w:eastAsia="Times New Roman" w:hAnsi="Arial" w:cs="Arial"/>
                <w:color w:val="515052"/>
                <w:sz w:val="21"/>
                <w:szCs w:val="21"/>
                <w:lang w:eastAsia="uk-UA"/>
              </w:rPr>
              <w:t>сплином</w:t>
            </w:r>
            <w:proofErr w:type="spellEnd"/>
            <w:r w:rsidRPr="0077785F">
              <w:rPr>
                <w:rFonts w:ascii="Arial" w:eastAsia="Times New Roman" w:hAnsi="Arial" w:cs="Arial"/>
                <w:color w:val="515052"/>
                <w:sz w:val="21"/>
                <w:szCs w:val="21"/>
                <w:lang w:eastAsia="uk-UA"/>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77785F" w:rsidRPr="0077785F" w:rsidTr="0077785F">
        <w:trPr>
          <w:trHeight w:val="1078"/>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lastRenderedPageBreak/>
              <w:t>13.Звіряння розрахунків.</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13.1 Звіряння фактичних розрахунків з підписанням відповідного акту проводиться за вимогою Сторін.</w:t>
            </w:r>
          </w:p>
        </w:tc>
      </w:tr>
      <w:tr w:rsidR="0077785F" w:rsidRPr="0077785F" w:rsidTr="0077785F">
        <w:trPr>
          <w:trHeight w:val="892"/>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14.Територія здійснення ліцензованої діяльності.</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 xml:space="preserve">14.1 Івано-Франківська область. Оператори системи розподілу, які здійснюють господарську діяльність на території Івано-Франківської області:  </w:t>
            </w:r>
            <w:proofErr w:type="spellStart"/>
            <w:r w:rsidRPr="0077785F">
              <w:rPr>
                <w:rFonts w:ascii="Arial" w:eastAsia="Times New Roman" w:hAnsi="Arial" w:cs="Arial"/>
                <w:color w:val="515052"/>
                <w:sz w:val="21"/>
                <w:szCs w:val="21"/>
                <w:lang w:eastAsia="uk-UA"/>
              </w:rPr>
              <w:t>АТ«Прикарпаттяобленерго</w:t>
            </w:r>
            <w:proofErr w:type="spellEnd"/>
            <w:r w:rsidRPr="0077785F">
              <w:rPr>
                <w:rFonts w:ascii="Arial" w:eastAsia="Times New Roman" w:hAnsi="Arial" w:cs="Arial"/>
                <w:color w:val="515052"/>
                <w:sz w:val="21"/>
                <w:szCs w:val="21"/>
                <w:lang w:eastAsia="uk-UA"/>
              </w:rPr>
              <w:t xml:space="preserve">»; </w:t>
            </w:r>
            <w:proofErr w:type="spellStart"/>
            <w:r w:rsidRPr="0077785F">
              <w:rPr>
                <w:rFonts w:ascii="Arial" w:eastAsia="Times New Roman" w:hAnsi="Arial" w:cs="Arial"/>
                <w:color w:val="515052"/>
                <w:sz w:val="21"/>
                <w:szCs w:val="21"/>
                <w:lang w:eastAsia="uk-UA"/>
              </w:rPr>
              <w:t>АТ«Укрзалізниця</w:t>
            </w:r>
            <w:proofErr w:type="spellEnd"/>
            <w:r w:rsidRPr="0077785F">
              <w:rPr>
                <w:rFonts w:ascii="Arial" w:eastAsia="Times New Roman" w:hAnsi="Arial" w:cs="Arial"/>
                <w:color w:val="515052"/>
                <w:sz w:val="21"/>
                <w:szCs w:val="21"/>
                <w:lang w:eastAsia="uk-UA"/>
              </w:rPr>
              <w:t>» (частково),  ВАТ «</w:t>
            </w:r>
            <w:proofErr w:type="spellStart"/>
            <w:r w:rsidRPr="0077785F">
              <w:rPr>
                <w:rFonts w:ascii="Arial" w:eastAsia="Times New Roman" w:hAnsi="Arial" w:cs="Arial"/>
                <w:color w:val="515052"/>
                <w:sz w:val="21"/>
                <w:szCs w:val="21"/>
                <w:lang w:eastAsia="uk-UA"/>
              </w:rPr>
              <w:t>Тернопільобленерго</w:t>
            </w:r>
            <w:proofErr w:type="spellEnd"/>
            <w:r w:rsidRPr="0077785F">
              <w:rPr>
                <w:rFonts w:ascii="Arial" w:eastAsia="Times New Roman" w:hAnsi="Arial" w:cs="Arial"/>
                <w:color w:val="515052"/>
                <w:sz w:val="21"/>
                <w:szCs w:val="21"/>
                <w:lang w:eastAsia="uk-UA"/>
              </w:rPr>
              <w:t xml:space="preserve">»  (частково); </w:t>
            </w:r>
            <w:proofErr w:type="spellStart"/>
            <w:r w:rsidRPr="0077785F">
              <w:rPr>
                <w:rFonts w:ascii="Arial" w:eastAsia="Times New Roman" w:hAnsi="Arial" w:cs="Arial"/>
                <w:color w:val="515052"/>
                <w:sz w:val="21"/>
                <w:szCs w:val="21"/>
                <w:lang w:eastAsia="uk-UA"/>
              </w:rPr>
              <w:t>АТ«Чернівціобленерго</w:t>
            </w:r>
            <w:proofErr w:type="spellEnd"/>
            <w:r w:rsidRPr="0077785F">
              <w:rPr>
                <w:rFonts w:ascii="Arial" w:eastAsia="Times New Roman" w:hAnsi="Arial" w:cs="Arial"/>
                <w:color w:val="515052"/>
                <w:sz w:val="21"/>
                <w:szCs w:val="21"/>
                <w:lang w:eastAsia="uk-UA"/>
              </w:rPr>
              <w:t>»(частково); ПрАТ  «</w:t>
            </w:r>
            <w:proofErr w:type="spellStart"/>
            <w:r w:rsidRPr="0077785F">
              <w:rPr>
                <w:rFonts w:ascii="Arial" w:eastAsia="Times New Roman" w:hAnsi="Arial" w:cs="Arial"/>
                <w:color w:val="515052"/>
                <w:sz w:val="21"/>
                <w:szCs w:val="21"/>
                <w:lang w:eastAsia="uk-UA"/>
              </w:rPr>
              <w:t>Львівобленерго</w:t>
            </w:r>
            <w:proofErr w:type="spellEnd"/>
            <w:r w:rsidRPr="0077785F">
              <w:rPr>
                <w:rFonts w:ascii="Arial" w:eastAsia="Times New Roman" w:hAnsi="Arial" w:cs="Arial"/>
                <w:color w:val="515052"/>
                <w:sz w:val="21"/>
                <w:szCs w:val="21"/>
                <w:lang w:eastAsia="uk-UA"/>
              </w:rPr>
              <w:t>» (частково).</w:t>
            </w:r>
          </w:p>
        </w:tc>
      </w:tr>
      <w:tr w:rsidR="0077785F" w:rsidRPr="0077785F" w:rsidTr="0077785F">
        <w:trPr>
          <w:trHeight w:val="621"/>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15.Можливість постачання захищеним споживачам.</w:t>
            </w:r>
          </w:p>
        </w:tc>
        <w:tc>
          <w:tcPr>
            <w:tcW w:w="803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color w:val="515052"/>
                <w:sz w:val="21"/>
                <w:szCs w:val="21"/>
                <w:lang w:eastAsia="uk-UA"/>
              </w:rPr>
              <w:t>15.1 Постачання електричної енергії захищеним споживачам не здійснюється.</w:t>
            </w:r>
          </w:p>
        </w:tc>
      </w:tr>
      <w:tr w:rsidR="0077785F" w:rsidRPr="0077785F" w:rsidTr="0077785F">
        <w:trPr>
          <w:trHeight w:val="116"/>
        </w:trPr>
        <w:tc>
          <w:tcPr>
            <w:tcW w:w="10773" w:type="dxa"/>
            <w:gridSpan w:val="2"/>
            <w:tcBorders>
              <w:top w:val="outset" w:sz="6" w:space="0" w:color="BFBFBF"/>
              <w:left w:val="outset" w:sz="6" w:space="0" w:color="BFBFBF"/>
              <w:bottom w:val="outset" w:sz="6" w:space="0" w:color="BFBFBF"/>
              <w:right w:val="outset" w:sz="6" w:space="0" w:color="BFBFBF"/>
            </w:tcBorders>
            <w:shd w:val="clear" w:color="auto" w:fill="FFFFFF"/>
            <w:tcMar>
              <w:top w:w="180" w:type="dxa"/>
              <w:left w:w="180" w:type="dxa"/>
              <w:bottom w:w="180" w:type="dxa"/>
              <w:right w:w="180" w:type="dxa"/>
            </w:tcMar>
            <w:vAlign w:val="center"/>
            <w:hideMark/>
          </w:tcPr>
          <w:p w:rsidR="0077785F" w:rsidRPr="0077785F" w:rsidRDefault="0077785F" w:rsidP="0077785F">
            <w:pPr>
              <w:spacing w:before="100" w:beforeAutospacing="1" w:after="360" w:line="240" w:lineRule="auto"/>
              <w:rPr>
                <w:rFonts w:ascii="Arial" w:eastAsia="Times New Roman" w:hAnsi="Arial" w:cs="Arial"/>
                <w:color w:val="515052"/>
                <w:sz w:val="21"/>
                <w:szCs w:val="21"/>
                <w:lang w:eastAsia="uk-UA"/>
              </w:rPr>
            </w:pPr>
            <w:r w:rsidRPr="0077785F">
              <w:rPr>
                <w:rFonts w:ascii="Arial" w:eastAsia="Times New Roman" w:hAnsi="Arial" w:cs="Arial"/>
                <w:i/>
                <w:iCs/>
                <w:color w:val="515052"/>
                <w:sz w:val="21"/>
                <w:szCs w:val="21"/>
                <w:lang w:eastAsia="uk-UA"/>
              </w:rPr>
              <w:t>Дана комерційна пропозиція чинна з ____________ 2023 року  по 31 грудня 2023 року.</w:t>
            </w:r>
          </w:p>
        </w:tc>
      </w:tr>
    </w:tbl>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i/>
          <w:iCs/>
          <w:color w:val="515052"/>
          <w:sz w:val="24"/>
          <w:szCs w:val="24"/>
          <w:lang w:eastAsia="uk-UA"/>
        </w:rPr>
        <w:t>Примітка:</w:t>
      </w:r>
    </w:p>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i/>
          <w:iCs/>
          <w:color w:val="515052"/>
          <w:sz w:val="24"/>
          <w:szCs w:val="24"/>
          <w:lang w:eastAsia="uk-UA"/>
        </w:rPr>
        <w:t>*Інформація про наявність пільг станом на день укладення Договору повинна бути зазначена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color w:val="515052"/>
          <w:sz w:val="24"/>
          <w:szCs w:val="24"/>
          <w:lang w:eastAsia="uk-UA"/>
        </w:rPr>
        <w:lastRenderedPageBreak/>
        <w:t> </w:t>
      </w:r>
    </w:p>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color w:val="515052"/>
          <w:sz w:val="24"/>
          <w:szCs w:val="24"/>
          <w:lang w:eastAsia="uk-UA"/>
        </w:rPr>
        <w:t> </w:t>
      </w:r>
    </w:p>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i/>
          <w:iCs/>
          <w:color w:val="515052"/>
          <w:sz w:val="24"/>
          <w:szCs w:val="24"/>
          <w:lang w:eastAsia="uk-UA"/>
        </w:rPr>
        <w:t>_________________                                                                         _____________________                                                   </w:t>
      </w:r>
    </w:p>
    <w:p w:rsidR="0077785F" w:rsidRPr="0077785F" w:rsidRDefault="0077785F" w:rsidP="0077785F">
      <w:pPr>
        <w:spacing w:before="100" w:beforeAutospacing="1" w:after="360" w:line="240" w:lineRule="auto"/>
        <w:rPr>
          <w:rFonts w:ascii="Arial" w:eastAsia="Times New Roman" w:hAnsi="Arial" w:cs="Arial"/>
          <w:color w:val="515052"/>
          <w:sz w:val="24"/>
          <w:szCs w:val="24"/>
          <w:lang w:eastAsia="uk-UA"/>
        </w:rPr>
      </w:pPr>
      <w:r w:rsidRPr="0077785F">
        <w:rPr>
          <w:rFonts w:ascii="Arial" w:eastAsia="Times New Roman" w:hAnsi="Arial" w:cs="Arial"/>
          <w:i/>
          <w:iCs/>
          <w:color w:val="515052"/>
          <w:sz w:val="24"/>
          <w:szCs w:val="24"/>
          <w:lang w:eastAsia="uk-UA"/>
        </w:rPr>
        <w:t>    Дата                                                                                                                   Підпис Споживача</w:t>
      </w:r>
    </w:p>
    <w:p w:rsidR="00650C55" w:rsidRDefault="00650C55"/>
    <w:sectPr w:rsidR="00650C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69F6"/>
    <w:multiLevelType w:val="multilevel"/>
    <w:tmpl w:val="B8F2A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E01A0"/>
    <w:multiLevelType w:val="multilevel"/>
    <w:tmpl w:val="1CD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51DC3"/>
    <w:multiLevelType w:val="multilevel"/>
    <w:tmpl w:val="11F07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C84A74"/>
    <w:multiLevelType w:val="multilevel"/>
    <w:tmpl w:val="302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9356A"/>
    <w:multiLevelType w:val="multilevel"/>
    <w:tmpl w:val="E5C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7B"/>
    <w:rsid w:val="00650C55"/>
    <w:rsid w:val="0077785F"/>
    <w:rsid w:val="00B80E7B"/>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1F005-E32B-4BA4-AC84-E710A1A7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85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7785F"/>
    <w:rPr>
      <w:b/>
      <w:bCs/>
    </w:rPr>
  </w:style>
  <w:style w:type="character" w:styleId="a5">
    <w:name w:val="Emphasis"/>
    <w:basedOn w:val="a0"/>
    <w:uiPriority w:val="20"/>
    <w:qFormat/>
    <w:rsid w:val="00777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6392</Words>
  <Characters>3644</Characters>
  <Application>Microsoft Office Word</Application>
  <DocSecurity>0</DocSecurity>
  <Lines>30</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2023-12-15T09:01:00Z</dcterms:created>
  <dcterms:modified xsi:type="dcterms:W3CDTF">2023-12-15T09:02:00Z</dcterms:modified>
</cp:coreProperties>
</file>