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5" w:type="dxa"/>
        <w:tblCellMar>
          <w:left w:w="0" w:type="dxa"/>
          <w:right w:w="0" w:type="dxa"/>
        </w:tblCellMar>
        <w:tblLook w:val="04A0" w:firstRow="1" w:lastRow="0" w:firstColumn="1" w:lastColumn="0" w:noHBand="0" w:noVBand="1"/>
      </w:tblPr>
      <w:tblGrid>
        <w:gridCol w:w="2468"/>
        <w:gridCol w:w="7587"/>
      </w:tblGrid>
      <w:tr w:rsidR="00826EF3" w:rsidRPr="00826EF3" w:rsidTr="00826EF3">
        <w:trPr>
          <w:trHeight w:val="100"/>
        </w:trPr>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1.Дана комерційна пропозиція застосовується для</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1.1 Побутових споживачів - фізичних осіб, які використовують електричну енергію для забезпечення власних побутових потреб, що не включають професійну та/або господарську діяльність.</w:t>
            </w:r>
          </w:p>
        </w:tc>
      </w:tr>
      <w:tr w:rsidR="00826EF3" w:rsidRPr="00826EF3" w:rsidTr="00826EF3">
        <w:trPr>
          <w:trHeight w:val="3060"/>
        </w:trPr>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2.Ціна електричної енергії.</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2.1 Розрахунок за спожиту електроенергію за цінами, встановленими постановами Кабінету Міністрів України  чи іншими нормативно правовими актами.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Відповідно до постанови Кабінету Міністрів України № 483 від 05 червня 2019 (зі змінами) фіксована ціна на електричну енергію для побутових споживачів  становить:  </w:t>
            </w:r>
          </w:p>
          <w:tbl>
            <w:tblPr>
              <w:tblW w:w="7146" w:type="dxa"/>
              <w:tblCellMar>
                <w:left w:w="0" w:type="dxa"/>
                <w:right w:w="0" w:type="dxa"/>
              </w:tblCellMar>
              <w:tblLook w:val="04A0" w:firstRow="1" w:lastRow="0" w:firstColumn="1" w:lastColumn="0" w:noHBand="0" w:noVBand="1"/>
            </w:tblPr>
            <w:tblGrid>
              <w:gridCol w:w="1527"/>
              <w:gridCol w:w="2703"/>
              <w:gridCol w:w="2928"/>
            </w:tblGrid>
            <w:tr w:rsidR="00826EF3" w:rsidRPr="00826EF3">
              <w:trPr>
                <w:trHeight w:val="20"/>
              </w:trPr>
              <w:tc>
                <w:tcPr>
                  <w:tcW w:w="300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vAlign w:val="center"/>
                  <w:hideMark/>
                </w:tcPr>
                <w:p w:rsidR="00826EF3" w:rsidRPr="00826EF3" w:rsidRDefault="00826EF3" w:rsidP="00826EF3">
                  <w:pPr>
                    <w:spacing w:before="100" w:beforeAutospacing="1" w:after="360" w:line="240" w:lineRule="auto"/>
                    <w:rPr>
                      <w:rFonts w:ascii="Times New Roman" w:eastAsia="Times New Roman" w:hAnsi="Times New Roman" w:cs="Times New Roman"/>
                      <w:color w:val="515052"/>
                      <w:sz w:val="21"/>
                      <w:szCs w:val="21"/>
                      <w:lang w:eastAsia="uk-UA"/>
                    </w:rPr>
                  </w:pPr>
                  <w:r w:rsidRPr="00826EF3">
                    <w:rPr>
                      <w:rFonts w:ascii="Times New Roman" w:eastAsia="Times New Roman" w:hAnsi="Times New Roman" w:cs="Times New Roman"/>
                      <w:b/>
                      <w:bCs/>
                      <w:color w:val="515052"/>
                      <w:sz w:val="21"/>
                      <w:szCs w:val="21"/>
                      <w:lang w:eastAsia="uk-UA"/>
                    </w:rPr>
                    <w:t>Місячний обсяг споживання</w:t>
                  </w:r>
                </w:p>
              </w:tc>
              <w:tc>
                <w:tcPr>
                  <w:tcW w:w="181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vAlign w:val="center"/>
                  <w:hideMark/>
                </w:tcPr>
                <w:p w:rsidR="00826EF3" w:rsidRPr="00826EF3" w:rsidRDefault="00826EF3" w:rsidP="00826EF3">
                  <w:pPr>
                    <w:spacing w:before="100" w:beforeAutospacing="1" w:after="360" w:line="240" w:lineRule="auto"/>
                    <w:rPr>
                      <w:rFonts w:ascii="Times New Roman" w:eastAsia="Times New Roman" w:hAnsi="Times New Roman" w:cs="Times New Roman"/>
                      <w:color w:val="515052"/>
                      <w:sz w:val="21"/>
                      <w:szCs w:val="21"/>
                      <w:lang w:eastAsia="uk-UA"/>
                    </w:rPr>
                  </w:pPr>
                  <w:r w:rsidRPr="00826EF3">
                    <w:rPr>
                      <w:rFonts w:ascii="Times New Roman" w:eastAsia="Times New Roman" w:hAnsi="Times New Roman" w:cs="Times New Roman"/>
                      <w:b/>
                      <w:bCs/>
                      <w:color w:val="515052"/>
                      <w:sz w:val="21"/>
                      <w:szCs w:val="21"/>
                      <w:lang w:eastAsia="uk-UA"/>
                    </w:rPr>
                    <w:t>Ціна</w:t>
                  </w:r>
                </w:p>
                <w:p w:rsidR="00826EF3" w:rsidRPr="00826EF3" w:rsidRDefault="00826EF3" w:rsidP="00826EF3">
                  <w:pPr>
                    <w:spacing w:before="100" w:beforeAutospacing="1" w:after="360" w:line="240" w:lineRule="auto"/>
                    <w:rPr>
                      <w:rFonts w:ascii="Times New Roman" w:eastAsia="Times New Roman" w:hAnsi="Times New Roman" w:cs="Times New Roman"/>
                      <w:color w:val="515052"/>
                      <w:sz w:val="21"/>
                      <w:szCs w:val="21"/>
                      <w:lang w:eastAsia="uk-UA"/>
                    </w:rPr>
                  </w:pPr>
                  <w:r w:rsidRPr="00826EF3">
                    <w:rPr>
                      <w:rFonts w:ascii="Times New Roman" w:eastAsia="Times New Roman" w:hAnsi="Times New Roman" w:cs="Times New Roman"/>
                      <w:b/>
                      <w:bCs/>
                      <w:color w:val="515052"/>
                      <w:sz w:val="21"/>
                      <w:szCs w:val="21"/>
                      <w:lang w:eastAsia="uk-UA"/>
                    </w:rPr>
                    <w:t> грн/кВт*год                без ПДВ</w:t>
                  </w:r>
                </w:p>
              </w:tc>
              <w:tc>
                <w:tcPr>
                  <w:tcW w:w="232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vAlign w:val="center"/>
                  <w:hideMark/>
                </w:tcPr>
                <w:p w:rsidR="00826EF3" w:rsidRPr="00826EF3" w:rsidRDefault="00826EF3" w:rsidP="00826EF3">
                  <w:pPr>
                    <w:spacing w:before="100" w:beforeAutospacing="1" w:after="360" w:line="240" w:lineRule="auto"/>
                    <w:rPr>
                      <w:rFonts w:ascii="Times New Roman" w:eastAsia="Times New Roman" w:hAnsi="Times New Roman" w:cs="Times New Roman"/>
                      <w:color w:val="515052"/>
                      <w:sz w:val="21"/>
                      <w:szCs w:val="21"/>
                      <w:lang w:eastAsia="uk-UA"/>
                    </w:rPr>
                  </w:pPr>
                  <w:r w:rsidRPr="00826EF3">
                    <w:rPr>
                      <w:rFonts w:ascii="Times New Roman" w:eastAsia="Times New Roman" w:hAnsi="Times New Roman" w:cs="Times New Roman"/>
                      <w:b/>
                      <w:bCs/>
                      <w:color w:val="515052"/>
                      <w:sz w:val="21"/>
                      <w:szCs w:val="21"/>
                      <w:lang w:eastAsia="uk-UA"/>
                    </w:rPr>
                    <w:t>Ціна    грн/кВт*год  з  ПДВ</w:t>
                  </w:r>
                </w:p>
              </w:tc>
            </w:tr>
            <w:tr w:rsidR="00826EF3" w:rsidRPr="00826EF3">
              <w:trPr>
                <w:trHeight w:val="20"/>
              </w:trPr>
              <w:tc>
                <w:tcPr>
                  <w:tcW w:w="3009"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vAlign w:val="center"/>
                  <w:hideMark/>
                </w:tcPr>
                <w:p w:rsidR="00826EF3" w:rsidRPr="00826EF3" w:rsidRDefault="00826EF3" w:rsidP="00826EF3">
                  <w:pPr>
                    <w:spacing w:before="100" w:beforeAutospacing="1" w:after="360" w:line="240" w:lineRule="auto"/>
                    <w:rPr>
                      <w:rFonts w:ascii="Times New Roman" w:eastAsia="Times New Roman" w:hAnsi="Times New Roman" w:cs="Times New Roman"/>
                      <w:color w:val="515052"/>
                      <w:sz w:val="21"/>
                      <w:szCs w:val="21"/>
                      <w:lang w:eastAsia="uk-UA"/>
                    </w:rPr>
                  </w:pPr>
                  <w:r w:rsidRPr="00826EF3">
                    <w:rPr>
                      <w:rFonts w:ascii="Times New Roman" w:eastAsia="Times New Roman" w:hAnsi="Times New Roman" w:cs="Times New Roman"/>
                      <w:color w:val="515052"/>
                      <w:sz w:val="21"/>
                      <w:szCs w:val="21"/>
                      <w:lang w:eastAsia="uk-UA"/>
                    </w:rPr>
                    <w:t>за весь обсяг споживання</w:t>
                  </w:r>
                </w:p>
              </w:tc>
              <w:tc>
                <w:tcPr>
                  <w:tcW w:w="181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vAlign w:val="center"/>
                  <w:hideMark/>
                </w:tcPr>
                <w:p w:rsidR="00826EF3" w:rsidRPr="00826EF3" w:rsidRDefault="00826EF3" w:rsidP="00826EF3">
                  <w:pPr>
                    <w:spacing w:before="100" w:beforeAutospacing="1" w:after="360" w:line="240" w:lineRule="auto"/>
                    <w:rPr>
                      <w:rFonts w:ascii="Times New Roman" w:eastAsia="Times New Roman" w:hAnsi="Times New Roman" w:cs="Times New Roman"/>
                      <w:color w:val="515052"/>
                      <w:sz w:val="21"/>
                      <w:szCs w:val="21"/>
                      <w:lang w:eastAsia="uk-UA"/>
                    </w:rPr>
                  </w:pPr>
                  <w:r w:rsidRPr="00826EF3">
                    <w:rPr>
                      <w:rFonts w:ascii="Times New Roman" w:eastAsia="Times New Roman" w:hAnsi="Times New Roman" w:cs="Times New Roman"/>
                      <w:color w:val="515052"/>
                      <w:sz w:val="21"/>
                      <w:szCs w:val="21"/>
                      <w:lang w:eastAsia="uk-UA"/>
                    </w:rPr>
                    <w:t>2,20</w:t>
                  </w:r>
                </w:p>
              </w:tc>
              <w:tc>
                <w:tcPr>
                  <w:tcW w:w="232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vAlign w:val="center"/>
                  <w:hideMark/>
                </w:tcPr>
                <w:p w:rsidR="00826EF3" w:rsidRPr="00826EF3" w:rsidRDefault="00826EF3" w:rsidP="00826EF3">
                  <w:pPr>
                    <w:spacing w:before="100" w:beforeAutospacing="1" w:after="360" w:line="240" w:lineRule="auto"/>
                    <w:rPr>
                      <w:rFonts w:ascii="Times New Roman" w:eastAsia="Times New Roman" w:hAnsi="Times New Roman" w:cs="Times New Roman"/>
                      <w:color w:val="515052"/>
                      <w:sz w:val="21"/>
                      <w:szCs w:val="21"/>
                      <w:lang w:eastAsia="uk-UA"/>
                    </w:rPr>
                  </w:pPr>
                  <w:r w:rsidRPr="00826EF3">
                    <w:rPr>
                      <w:rFonts w:ascii="Times New Roman" w:eastAsia="Times New Roman" w:hAnsi="Times New Roman" w:cs="Times New Roman"/>
                      <w:color w:val="515052"/>
                      <w:sz w:val="21"/>
                      <w:szCs w:val="21"/>
                      <w:lang w:eastAsia="uk-UA"/>
                    </w:rPr>
                    <w:t>2,64</w:t>
                  </w:r>
                </w:p>
              </w:tc>
            </w:tr>
          </w:tbl>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tc>
      </w:tr>
      <w:tr w:rsidR="00826EF3" w:rsidRPr="00826EF3" w:rsidTr="00826EF3">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3.Розрахунковий період.</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numPr>
                <w:ilvl w:val="0"/>
                <w:numId w:val="1"/>
              </w:numPr>
              <w:spacing w:before="100" w:beforeAutospacing="1" w:after="100" w:afterAutospacing="1" w:line="240" w:lineRule="auto"/>
              <w:ind w:left="180"/>
              <w:rPr>
                <w:rFonts w:ascii="Arial" w:eastAsia="Times New Roman" w:hAnsi="Arial" w:cs="Arial"/>
                <w:color w:val="454445"/>
                <w:sz w:val="21"/>
                <w:szCs w:val="21"/>
                <w:lang w:eastAsia="uk-UA"/>
              </w:rPr>
            </w:pPr>
          </w:p>
          <w:p w:rsidR="00826EF3" w:rsidRPr="00826EF3" w:rsidRDefault="00826EF3" w:rsidP="00826EF3">
            <w:pPr>
              <w:numPr>
                <w:ilvl w:val="1"/>
                <w:numId w:val="1"/>
              </w:numPr>
              <w:spacing w:before="100" w:beforeAutospacing="1"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Календарний місяць (починаючи з першого по останній день кожного місяця).</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tc>
      </w:tr>
      <w:tr w:rsidR="00826EF3" w:rsidRPr="00826EF3" w:rsidTr="00826EF3">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4.Спосіб оплати.</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4.1 Оплата за фактично спожиту електроенергію визначається  відповідно до даних комерційного обліку.</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tc>
      </w:tr>
      <w:tr w:rsidR="00826EF3" w:rsidRPr="00826EF3" w:rsidTr="00826EF3">
        <w:trPr>
          <w:trHeight w:val="729"/>
        </w:trPr>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5.Спосіб оплати за послугу розподілу(передачі) електричної енергії .</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5.1  Оплата за послугу розподілу (передачі) електричної енергії здійснюється Постачальнику з наступним переведенням цієї оплати Постачальником оператору системи.</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tc>
      </w:tr>
      <w:tr w:rsidR="00826EF3" w:rsidRPr="00826EF3" w:rsidTr="00826EF3">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lastRenderedPageBreak/>
              <w:t>6.Термін виставлення рахунку за електричну енергію та строки та способи його оплати</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6.1 Платіжні документи (рахунки) на оплату надаються Постачальником споживачу у місяці, наступному за розрахунковим,  одним із способів:</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у відповідному Центрі обслуговування користувачів;</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через Персональний кабінет споживача;</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електронною поштою;</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факсимільним зв’язком;</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 поштовим зв’язком;</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 кур’єром;</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 мобільним додатком Постачальника;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 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Споживачі, які користуються Персональним кабінетом та мобільним додатком Постачальника самостійно формують рахунки на оплату за спожиту електричну енергію.</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Для можливості отримання рахунку Постачальника електронною поштою чи у «Персональному кабінеті», Споживач повинен вказати електронну адресу в заяві-приєднання чи зареєструватися у «Персональному кабінеті».</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6.2  Термін оплати рахунків - 10 робочих днів від дати отримання рахунка, але не пізніше 20 календарного дня після закінчення розрахункового періоду.</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6.3 Оплата здійснюється на поточний рахунок із спеціальним режимом використання Постачальника, зазначений у Договорі або розрахункових документах.</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Споживач може здійснювати оплату за спожиту електричну енергію:</w:t>
            </w:r>
          </w:p>
          <w:p w:rsidR="00826EF3" w:rsidRPr="00826EF3" w:rsidRDefault="00826EF3" w:rsidP="00826EF3">
            <w:pPr>
              <w:numPr>
                <w:ilvl w:val="0"/>
                <w:numId w:val="2"/>
              </w:numPr>
              <w:spacing w:before="100" w:beforeAutospacing="1"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у системі онлайн-розрахунків «Персональний кабінет» на web-сайті Постачальника (далі – Персональний кабінет). Для реєстрації у Персональному кабінеті Споживач використовує такі дані:</w:t>
            </w:r>
          </w:p>
          <w:p w:rsidR="00826EF3" w:rsidRPr="00826EF3" w:rsidRDefault="00826EF3" w:rsidP="00826EF3">
            <w:pPr>
              <w:numPr>
                <w:ilvl w:val="0"/>
                <w:numId w:val="3"/>
              </w:numPr>
              <w:spacing w:before="100" w:beforeAutospacing="1"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електронна пошта ___________@___________;</w:t>
            </w:r>
          </w:p>
          <w:p w:rsidR="00826EF3" w:rsidRPr="00826EF3" w:rsidRDefault="00826EF3" w:rsidP="00826EF3">
            <w:pPr>
              <w:numPr>
                <w:ilvl w:val="0"/>
                <w:numId w:val="3"/>
              </w:numPr>
              <w:spacing w:before="90"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ім’я та прізвище відповідальної особи ____________________;</w:t>
            </w:r>
          </w:p>
          <w:p w:rsidR="00826EF3" w:rsidRPr="00826EF3" w:rsidRDefault="00826EF3" w:rsidP="00826EF3">
            <w:pPr>
              <w:numPr>
                <w:ilvl w:val="0"/>
                <w:numId w:val="3"/>
              </w:numPr>
              <w:spacing w:before="90"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номер мобільного телефону __________________.</w:t>
            </w:r>
          </w:p>
          <w:p w:rsidR="00826EF3" w:rsidRPr="00826EF3" w:rsidRDefault="00826EF3" w:rsidP="00826EF3">
            <w:pPr>
              <w:numPr>
                <w:ilvl w:val="0"/>
                <w:numId w:val="4"/>
              </w:numPr>
              <w:spacing w:before="100" w:beforeAutospacing="1"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через платіжні термінали чи системи інтернет-розрахунків;</w:t>
            </w:r>
          </w:p>
          <w:p w:rsidR="00826EF3" w:rsidRPr="00826EF3" w:rsidRDefault="00826EF3" w:rsidP="00826EF3">
            <w:pPr>
              <w:numPr>
                <w:ilvl w:val="0"/>
                <w:numId w:val="4"/>
              </w:numPr>
              <w:spacing w:before="90"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у банківських відділеннях;</w:t>
            </w:r>
          </w:p>
          <w:p w:rsidR="00826EF3" w:rsidRPr="00826EF3" w:rsidRDefault="00826EF3" w:rsidP="00826EF3">
            <w:pPr>
              <w:numPr>
                <w:ilvl w:val="0"/>
                <w:numId w:val="4"/>
              </w:numPr>
              <w:spacing w:before="90"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у відділеннях зв’язку АТ «Укрпошти»;</w:t>
            </w:r>
          </w:p>
          <w:p w:rsidR="00826EF3" w:rsidRPr="00826EF3" w:rsidRDefault="00826EF3" w:rsidP="00826EF3">
            <w:pPr>
              <w:numPr>
                <w:ilvl w:val="0"/>
                <w:numId w:val="4"/>
              </w:numPr>
              <w:spacing w:before="90"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lastRenderedPageBreak/>
              <w:t>в інший не заборонений законодавством спосіб.</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Інформацію про суму до оплати можна отримати через систему онлайн-розрахунків «Персональний кабінет» на web-сайті Постачальника, системи інтернет-розрахунків та у банківських відділеннях (АТ «Ощадбанк», ПАТ КБ «Приватбанк», </w:t>
            </w:r>
            <w:r w:rsidRPr="00826EF3">
              <w:rPr>
                <w:rFonts w:ascii="Arial" w:eastAsia="Times New Roman" w:hAnsi="Arial" w:cs="Arial"/>
                <w:b/>
                <w:bCs/>
                <w:color w:val="515052"/>
                <w:sz w:val="21"/>
                <w:szCs w:val="21"/>
                <w:lang w:eastAsia="uk-UA"/>
              </w:rPr>
              <w:t>АТ «Айбокс Банк», </w:t>
            </w:r>
            <w:r w:rsidRPr="00826EF3">
              <w:rPr>
                <w:rFonts w:ascii="Arial" w:eastAsia="Times New Roman" w:hAnsi="Arial" w:cs="Arial"/>
                <w:color w:val="515052"/>
                <w:sz w:val="21"/>
                <w:szCs w:val="21"/>
                <w:lang w:eastAsia="uk-UA"/>
              </w:rPr>
              <w:t>ПрАТ «Банк Фамільний»), через платіжні термінали фінансових систем (ФК «Система», ТОВ «Фінансова компанія МБК»), у автоматизованих відділеннях зв’язку АТ «Укрпошти», у Центрах обслуговування клієнтів Постачальника, за телефонами кол-центру, які розміщені на сайті Постачальника.</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tc>
      </w:tr>
      <w:tr w:rsidR="00826EF3" w:rsidRPr="00826EF3" w:rsidTr="00826EF3">
        <w:trPr>
          <w:trHeight w:val="1637"/>
        </w:trPr>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lastRenderedPageBreak/>
              <w:t>7.Інформаційні повідомлення.</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numPr>
                <w:ilvl w:val="0"/>
                <w:numId w:val="5"/>
              </w:numPr>
              <w:spacing w:before="100" w:beforeAutospacing="1" w:after="100" w:afterAutospacing="1" w:line="240" w:lineRule="auto"/>
              <w:ind w:left="180"/>
              <w:rPr>
                <w:rFonts w:ascii="Arial" w:eastAsia="Times New Roman" w:hAnsi="Arial" w:cs="Arial"/>
                <w:color w:val="454445"/>
                <w:sz w:val="21"/>
                <w:szCs w:val="21"/>
                <w:lang w:eastAsia="uk-UA"/>
              </w:rPr>
            </w:pPr>
          </w:p>
          <w:p w:rsidR="00826EF3" w:rsidRPr="00826EF3" w:rsidRDefault="00826EF3" w:rsidP="00826EF3">
            <w:pPr>
              <w:numPr>
                <w:ilvl w:val="1"/>
                <w:numId w:val="5"/>
              </w:numPr>
              <w:spacing w:before="100" w:beforeAutospacing="1"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Всі інформаційні повідомлення Постачальник направляє:</w:t>
            </w:r>
          </w:p>
          <w:p w:rsidR="00826EF3" w:rsidRPr="00826EF3" w:rsidRDefault="00826EF3" w:rsidP="00826EF3">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через особистий кабінет на своєму офіційному сайті у мережі Інтернет,</w:t>
            </w:r>
          </w:p>
          <w:p w:rsidR="00826EF3" w:rsidRPr="00826EF3" w:rsidRDefault="00826EF3" w:rsidP="00826EF3">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засобами електронного зв'язку на електронну адресу вказану у заяві-приєднання до умов договору або надану іншим способом,</w:t>
            </w:r>
          </w:p>
          <w:p w:rsidR="00826EF3" w:rsidRPr="00826EF3" w:rsidRDefault="00826EF3" w:rsidP="00826EF3">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СМС-повідомленням на номер, зазначений у заяві-приєднання до умов договору або наданий іншим способом,</w:t>
            </w:r>
          </w:p>
          <w:p w:rsidR="00826EF3" w:rsidRPr="00826EF3" w:rsidRDefault="00826EF3" w:rsidP="00826EF3">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Push-повідомленням на мобільний додаток,</w:t>
            </w:r>
          </w:p>
          <w:p w:rsidR="00826EF3" w:rsidRPr="00826EF3" w:rsidRDefault="00826EF3" w:rsidP="00826EF3">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у чат-боті,</w:t>
            </w:r>
          </w:p>
          <w:p w:rsidR="00826EF3" w:rsidRPr="00826EF3" w:rsidRDefault="00826EF3" w:rsidP="00826EF3">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826EF3">
              <w:rPr>
                <w:rFonts w:ascii="Arial" w:eastAsia="Times New Roman" w:hAnsi="Arial" w:cs="Arial"/>
                <w:color w:val="454445"/>
                <w:sz w:val="21"/>
                <w:szCs w:val="21"/>
                <w:lang w:eastAsia="uk-UA"/>
              </w:rPr>
              <w:t>в центрах обслуговування споживачів,</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тощо.</w:t>
            </w:r>
          </w:p>
        </w:tc>
      </w:tr>
      <w:tr w:rsidR="00826EF3" w:rsidRPr="00826EF3" w:rsidTr="00826EF3">
        <w:trPr>
          <w:trHeight w:val="1700"/>
        </w:trPr>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8.Постачання електричної енергії вразливим споживачам, урахування пільг та субсидій.</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8.1 Надаються у порядку та розмірі визначеному чинним законодавством України*.</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w:t>
            </w:r>
          </w:p>
        </w:tc>
      </w:tr>
      <w:tr w:rsidR="00826EF3" w:rsidRPr="00826EF3" w:rsidTr="00826EF3">
        <w:trPr>
          <w:trHeight w:val="668"/>
        </w:trPr>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9.Розмір пені за порушення строків оплати</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9.1 За порушення термінів оплати за спожиту електроенергію, визначених відповідним Договором, Споживач сплачує Постачальнику пеню у розмірі 0,01% за кожний день прострочення платежу не враховуючи день фактичної оплати. Дана сума зазначається у розрахунковому документі окремим рядком та оплачується на поточний  рахунок Постачальника.</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Даний пункт у період воєнного стану не застосовується.</w:t>
            </w:r>
          </w:p>
        </w:tc>
      </w:tr>
      <w:tr w:rsidR="00826EF3" w:rsidRPr="00826EF3" w:rsidTr="00826EF3">
        <w:trPr>
          <w:trHeight w:val="1530"/>
        </w:trPr>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lastRenderedPageBreak/>
              <w:t>10.Штрафні санкції за дострокове припинення Договору з ініціативи Споживача (без попередження в термін)</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10.1 Відсутні.</w:t>
            </w:r>
          </w:p>
        </w:tc>
      </w:tr>
      <w:tr w:rsidR="00826EF3" w:rsidRPr="00826EF3" w:rsidTr="00826EF3">
        <w:trPr>
          <w:trHeight w:val="1216"/>
        </w:trPr>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11.Компенсація за недотримання комерційної якості надання послуг</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11.1 Компенсація за недотримання постачальником комерційної якості надання послуг надається у порядку та розмірі, визначеному НКРЕКП.</w:t>
            </w:r>
          </w:p>
        </w:tc>
      </w:tr>
      <w:tr w:rsidR="00826EF3" w:rsidRPr="00826EF3" w:rsidTr="00826EF3">
        <w:trPr>
          <w:trHeight w:val="1024"/>
        </w:trPr>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12. Строк дії договору та умови пролонгації</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12.1 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№1  для населення  «Для дому із застосуванням ціни, не диференційованої за періодами часу (годинами) доби». Договір 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відкладальною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12.2 Термін дії договору в частині постачання електроенергії щодо об’єктів, що знаходяться в строковому користуванні –до кінця поточного року з умовою пролонгації договору відповідно до п.12.1  даної комерційної пропозиції в межах терміну, що зазначений у документі, який підтверджує право користування.</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12.3 В частині зобов’язань сторін, що виникли під час дії договору – договір діє до повного їх виконання .</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12.4      Дія Договору припиняється з таких підстав:</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12.4.1 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 xml:space="preserve">12.4.2  У разі зміни власника об'єкта Споживача та отримання від нового власника (користувача) або оператора системи розподілу </w:t>
            </w:r>
            <w:r w:rsidRPr="00826EF3">
              <w:rPr>
                <w:rFonts w:ascii="Arial" w:eastAsia="Times New Roman" w:hAnsi="Arial" w:cs="Arial"/>
                <w:color w:val="515052"/>
                <w:sz w:val="21"/>
                <w:szCs w:val="21"/>
                <w:lang w:eastAsia="uk-UA"/>
              </w:rPr>
              <w:lastRenderedPageBreak/>
              <w:t>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12.4.3 Банкрутства або припинення господарської діяльності Постачальником;</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12.4.4 У разі зміни Постачальника - у частині постачання електроенергії;</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12.4.5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12.5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сплином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826EF3" w:rsidRPr="00826EF3" w:rsidTr="00826EF3">
        <w:trPr>
          <w:trHeight w:val="1078"/>
        </w:trPr>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lastRenderedPageBreak/>
              <w:t>13.Звіряння розрахунків.</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13.1. Звіряння фактичних розрахунків з підписанням відповідного акту проводиться за вимогою Сторін.</w:t>
            </w:r>
          </w:p>
        </w:tc>
      </w:tr>
      <w:tr w:rsidR="00826EF3" w:rsidRPr="00826EF3" w:rsidTr="00826EF3">
        <w:trPr>
          <w:trHeight w:val="892"/>
        </w:trPr>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14.Територія здійснення ліцензованої діяльності.</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14.1 Івано-Франківська область. Оператори системи розподілу, які здійснюють господарську діяльність на території Івано-Франківської області: АТ«Прикарпаттяобленерго»; АТ«Укрзалізниця» (частково),  ВАТ«Тернопільобленерго»(частково);АТ«Чернівціобленерго» (частково) ; ПрАТ  «Львівобленерго» (частково).</w:t>
            </w:r>
          </w:p>
        </w:tc>
      </w:tr>
      <w:tr w:rsidR="00826EF3" w:rsidRPr="00826EF3" w:rsidTr="00826EF3">
        <w:tc>
          <w:tcPr>
            <w:tcW w:w="2610"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15.Можливість постачання захищеним споживачам.</w:t>
            </w:r>
          </w:p>
        </w:tc>
        <w:tc>
          <w:tcPr>
            <w:tcW w:w="7445"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color w:val="515052"/>
                <w:sz w:val="21"/>
                <w:szCs w:val="21"/>
                <w:lang w:eastAsia="uk-UA"/>
              </w:rPr>
              <w:t>15.1 Постачання електричної енергії захищеним споживачам не здійснюється.</w:t>
            </w:r>
          </w:p>
        </w:tc>
      </w:tr>
      <w:tr w:rsidR="00826EF3" w:rsidRPr="00826EF3" w:rsidTr="00826EF3">
        <w:tc>
          <w:tcPr>
            <w:tcW w:w="10055" w:type="dxa"/>
            <w:gridSpan w:val="2"/>
            <w:tcBorders>
              <w:top w:val="outset" w:sz="6" w:space="0" w:color="BFBFBF"/>
              <w:left w:val="outset" w:sz="6" w:space="0" w:color="BFBFBF"/>
              <w:bottom w:val="outset" w:sz="6" w:space="0" w:color="BFBFBF"/>
              <w:right w:val="outset" w:sz="6" w:space="0" w:color="BFBFBF"/>
            </w:tcBorders>
            <w:shd w:val="clear" w:color="auto" w:fill="FFFFFF"/>
            <w:tcMar>
              <w:top w:w="180" w:type="dxa"/>
              <w:left w:w="180" w:type="dxa"/>
              <w:bottom w:w="180" w:type="dxa"/>
              <w:right w:w="180" w:type="dxa"/>
            </w:tcMar>
            <w:vAlign w:val="center"/>
            <w:hideMark/>
          </w:tcPr>
          <w:p w:rsidR="00826EF3" w:rsidRPr="00826EF3" w:rsidRDefault="00826EF3" w:rsidP="00826EF3">
            <w:pPr>
              <w:spacing w:before="100" w:beforeAutospacing="1" w:after="360" w:line="240" w:lineRule="auto"/>
              <w:rPr>
                <w:rFonts w:ascii="Arial" w:eastAsia="Times New Roman" w:hAnsi="Arial" w:cs="Arial"/>
                <w:color w:val="515052"/>
                <w:sz w:val="21"/>
                <w:szCs w:val="21"/>
                <w:lang w:eastAsia="uk-UA"/>
              </w:rPr>
            </w:pPr>
            <w:r w:rsidRPr="00826EF3">
              <w:rPr>
                <w:rFonts w:ascii="Arial" w:eastAsia="Times New Roman" w:hAnsi="Arial" w:cs="Arial"/>
                <w:i/>
                <w:iCs/>
                <w:color w:val="515052"/>
                <w:sz w:val="21"/>
                <w:szCs w:val="21"/>
                <w:lang w:eastAsia="uk-UA"/>
              </w:rPr>
              <w:t>Дана комерційна пропозиція чинна з ____________ 2023 року  по 31 грудня 2023 року.</w:t>
            </w:r>
          </w:p>
        </w:tc>
      </w:tr>
    </w:tbl>
    <w:p w:rsidR="00826EF3" w:rsidRPr="00826EF3" w:rsidRDefault="00826EF3" w:rsidP="00826EF3">
      <w:pPr>
        <w:spacing w:before="100" w:beforeAutospacing="1" w:after="360" w:line="240" w:lineRule="auto"/>
        <w:rPr>
          <w:rFonts w:ascii="Arial" w:eastAsia="Times New Roman" w:hAnsi="Arial" w:cs="Arial"/>
          <w:color w:val="515052"/>
          <w:sz w:val="24"/>
          <w:szCs w:val="24"/>
          <w:lang w:eastAsia="uk-UA"/>
        </w:rPr>
      </w:pPr>
      <w:r w:rsidRPr="00826EF3">
        <w:rPr>
          <w:rFonts w:ascii="Arial" w:eastAsia="Times New Roman" w:hAnsi="Arial" w:cs="Arial"/>
          <w:i/>
          <w:iCs/>
          <w:color w:val="515052"/>
          <w:sz w:val="24"/>
          <w:szCs w:val="24"/>
          <w:lang w:eastAsia="uk-UA"/>
        </w:rPr>
        <w:t>Примітка:</w:t>
      </w:r>
    </w:p>
    <w:p w:rsidR="00826EF3" w:rsidRPr="00826EF3" w:rsidRDefault="00826EF3" w:rsidP="00826EF3">
      <w:pPr>
        <w:spacing w:before="100" w:beforeAutospacing="1" w:after="360" w:line="240" w:lineRule="auto"/>
        <w:rPr>
          <w:rFonts w:ascii="Arial" w:eastAsia="Times New Roman" w:hAnsi="Arial" w:cs="Arial"/>
          <w:color w:val="515052"/>
          <w:sz w:val="24"/>
          <w:szCs w:val="24"/>
          <w:lang w:eastAsia="uk-UA"/>
        </w:rPr>
      </w:pPr>
      <w:r w:rsidRPr="00826EF3">
        <w:rPr>
          <w:rFonts w:ascii="Arial" w:eastAsia="Times New Roman" w:hAnsi="Arial" w:cs="Arial"/>
          <w:i/>
          <w:iCs/>
          <w:color w:val="515052"/>
          <w:sz w:val="24"/>
          <w:szCs w:val="24"/>
          <w:lang w:eastAsia="uk-UA"/>
        </w:rPr>
        <w:lastRenderedPageBreak/>
        <w:t>*Інформація про наявність пільг станом на день укладення Договору повинна бути зазначена в заяві-приєднання. Якщо Споживач або члени його сім’ї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rsidR="00826EF3" w:rsidRPr="00826EF3" w:rsidRDefault="00826EF3" w:rsidP="00826EF3">
      <w:pPr>
        <w:spacing w:before="100" w:beforeAutospacing="1" w:after="360" w:line="240" w:lineRule="auto"/>
        <w:rPr>
          <w:rFonts w:ascii="Arial" w:eastAsia="Times New Roman" w:hAnsi="Arial" w:cs="Arial"/>
          <w:color w:val="515052"/>
          <w:sz w:val="24"/>
          <w:szCs w:val="24"/>
          <w:lang w:eastAsia="uk-UA"/>
        </w:rPr>
      </w:pPr>
      <w:r w:rsidRPr="00826EF3">
        <w:rPr>
          <w:rFonts w:ascii="Arial" w:eastAsia="Times New Roman" w:hAnsi="Arial" w:cs="Arial"/>
          <w:color w:val="515052"/>
          <w:sz w:val="24"/>
          <w:szCs w:val="24"/>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4"/>
          <w:szCs w:val="24"/>
          <w:lang w:eastAsia="uk-UA"/>
        </w:rPr>
      </w:pPr>
      <w:r w:rsidRPr="00826EF3">
        <w:rPr>
          <w:rFonts w:ascii="Arial" w:eastAsia="Times New Roman" w:hAnsi="Arial" w:cs="Arial"/>
          <w:color w:val="515052"/>
          <w:sz w:val="24"/>
          <w:szCs w:val="24"/>
          <w:lang w:eastAsia="uk-UA"/>
        </w:rPr>
        <w:t> </w:t>
      </w:r>
    </w:p>
    <w:p w:rsidR="00826EF3" w:rsidRPr="00826EF3" w:rsidRDefault="00826EF3" w:rsidP="00826EF3">
      <w:pPr>
        <w:spacing w:before="100" w:beforeAutospacing="1" w:after="360" w:line="240" w:lineRule="auto"/>
        <w:rPr>
          <w:rFonts w:ascii="Arial" w:eastAsia="Times New Roman" w:hAnsi="Arial" w:cs="Arial"/>
          <w:color w:val="515052"/>
          <w:sz w:val="24"/>
          <w:szCs w:val="24"/>
          <w:lang w:eastAsia="uk-UA"/>
        </w:rPr>
      </w:pPr>
      <w:r w:rsidRPr="00826EF3">
        <w:rPr>
          <w:rFonts w:ascii="Arial" w:eastAsia="Times New Roman" w:hAnsi="Arial" w:cs="Arial"/>
          <w:i/>
          <w:iCs/>
          <w:color w:val="515052"/>
          <w:sz w:val="24"/>
          <w:szCs w:val="24"/>
          <w:lang w:eastAsia="uk-UA"/>
        </w:rPr>
        <w:t>_________________                                                                         _____________________                                                  </w:t>
      </w:r>
    </w:p>
    <w:p w:rsidR="00826EF3" w:rsidRPr="00826EF3" w:rsidRDefault="00826EF3" w:rsidP="00826EF3">
      <w:pPr>
        <w:spacing w:before="100" w:beforeAutospacing="1" w:after="360" w:line="240" w:lineRule="auto"/>
        <w:rPr>
          <w:rFonts w:ascii="Arial" w:eastAsia="Times New Roman" w:hAnsi="Arial" w:cs="Arial"/>
          <w:color w:val="515052"/>
          <w:sz w:val="24"/>
          <w:szCs w:val="24"/>
          <w:lang w:eastAsia="uk-UA"/>
        </w:rPr>
      </w:pPr>
      <w:r w:rsidRPr="00826EF3">
        <w:rPr>
          <w:rFonts w:ascii="Arial" w:eastAsia="Times New Roman" w:hAnsi="Arial" w:cs="Arial"/>
          <w:i/>
          <w:iCs/>
          <w:color w:val="515052"/>
          <w:sz w:val="24"/>
          <w:szCs w:val="24"/>
          <w:lang w:eastAsia="uk-UA"/>
        </w:rPr>
        <w:t>    Дата                                                                                        Підпис Споживача</w:t>
      </w:r>
    </w:p>
    <w:p w:rsidR="00650C55" w:rsidRDefault="00650C55">
      <w:bookmarkStart w:id="0" w:name="_GoBack"/>
      <w:bookmarkEnd w:id="0"/>
    </w:p>
    <w:sectPr w:rsidR="00650C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49A2"/>
    <w:multiLevelType w:val="multilevel"/>
    <w:tmpl w:val="1C9A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41CEA"/>
    <w:multiLevelType w:val="multilevel"/>
    <w:tmpl w:val="0DF2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52444"/>
    <w:multiLevelType w:val="multilevel"/>
    <w:tmpl w:val="F51E4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7440DF"/>
    <w:multiLevelType w:val="multilevel"/>
    <w:tmpl w:val="BF22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211FA"/>
    <w:multiLevelType w:val="multilevel"/>
    <w:tmpl w:val="CCA2E2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21"/>
    <w:rsid w:val="00640921"/>
    <w:rsid w:val="00650C55"/>
    <w:rsid w:val="00826EF3"/>
    <w:rsid w:val="00C07E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31A5B-1A04-49C0-B860-00C652E4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EF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26EF3"/>
    <w:rPr>
      <w:b/>
      <w:bCs/>
    </w:rPr>
  </w:style>
  <w:style w:type="character" w:styleId="a5">
    <w:name w:val="Emphasis"/>
    <w:basedOn w:val="a0"/>
    <w:uiPriority w:val="20"/>
    <w:qFormat/>
    <w:rsid w:val="00826E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22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6205</Words>
  <Characters>3537</Characters>
  <Application>Microsoft Office Word</Application>
  <DocSecurity>0</DocSecurity>
  <Lines>29</Lines>
  <Paragraphs>19</Paragraphs>
  <ScaleCrop>false</ScaleCrop>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Лесюк Ольга Олегівна</dc:creator>
  <cp:keywords/>
  <dc:description/>
  <cp:lastModifiedBy>Лесюк Ольга Олегівна</cp:lastModifiedBy>
  <cp:revision>2</cp:revision>
  <dcterms:created xsi:type="dcterms:W3CDTF">2023-12-15T09:07:00Z</dcterms:created>
  <dcterms:modified xsi:type="dcterms:W3CDTF">2023-12-15T09:07:00Z</dcterms:modified>
</cp:coreProperties>
</file>